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37C2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77CEE0CB" w14:textId="77777777" w:rsidR="00295190" w:rsidRPr="00934F01" w:rsidRDefault="00295190" w:rsidP="00295190">
      <w:pPr>
        <w:jc w:val="center"/>
        <w:rPr>
          <w:sz w:val="28"/>
          <w:szCs w:val="28"/>
        </w:rPr>
      </w:pPr>
      <w:r w:rsidRPr="00934F01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4384" behindDoc="1" locked="0" layoutInCell="1" allowOverlap="1" wp14:anchorId="07BB5EA0" wp14:editId="3A29CB0F">
            <wp:simplePos x="0" y="0"/>
            <wp:positionH relativeFrom="column">
              <wp:posOffset>33655</wp:posOffset>
            </wp:positionH>
            <wp:positionV relativeFrom="paragraph">
              <wp:posOffset>-33655</wp:posOffset>
            </wp:positionV>
            <wp:extent cx="982345" cy="1049655"/>
            <wp:effectExtent l="19050" t="0" r="8255" b="0"/>
            <wp:wrapTight wrapText="bothSides">
              <wp:wrapPolygon edited="0">
                <wp:start x="-419" y="0"/>
                <wp:lineTo x="-419" y="21169"/>
                <wp:lineTo x="21782" y="21169"/>
                <wp:lineTo x="21782" y="0"/>
                <wp:lineTo x="-419" y="0"/>
              </wp:wrapPolygon>
            </wp:wrapTight>
            <wp:docPr id="1" name="Slika 2" descr="HB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BG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4F01">
        <w:rPr>
          <w:sz w:val="28"/>
          <w:szCs w:val="28"/>
        </w:rPr>
        <w:t>BOSNA I HERCEGOVINA</w:t>
      </w:r>
    </w:p>
    <w:p w14:paraId="5692CB59" w14:textId="77777777" w:rsidR="00295190" w:rsidRPr="00934F01" w:rsidRDefault="00295190" w:rsidP="00295190">
      <w:pPr>
        <w:jc w:val="center"/>
        <w:rPr>
          <w:rFonts w:ascii="Arial" w:hAnsi="Arial" w:cs="Arial"/>
          <w:sz w:val="28"/>
          <w:szCs w:val="28"/>
        </w:rPr>
      </w:pPr>
      <w:r w:rsidRPr="00934F01">
        <w:rPr>
          <w:rFonts w:ascii="Arial" w:hAnsi="Arial" w:cs="Arial"/>
          <w:sz w:val="28"/>
          <w:szCs w:val="28"/>
        </w:rPr>
        <w:t>FEDERACIJA BOSNE I HERCEGOVINE</w:t>
      </w:r>
    </w:p>
    <w:p w14:paraId="588FFC0F" w14:textId="77777777" w:rsidR="00295190" w:rsidRPr="00934F01" w:rsidRDefault="00295190" w:rsidP="00295190">
      <w:pPr>
        <w:jc w:val="center"/>
        <w:rPr>
          <w:rFonts w:ascii="Arial" w:hAnsi="Arial" w:cs="Arial"/>
          <w:b/>
          <w:sz w:val="28"/>
          <w:szCs w:val="28"/>
        </w:rPr>
      </w:pPr>
      <w:r w:rsidRPr="00934F01">
        <w:rPr>
          <w:rFonts w:ascii="Arial" w:hAnsi="Arial" w:cs="Arial"/>
          <w:b/>
          <w:sz w:val="28"/>
          <w:szCs w:val="28"/>
        </w:rPr>
        <w:t>HERCEGBOSANSKA ŽUPANIJA</w:t>
      </w:r>
    </w:p>
    <w:p w14:paraId="26C5A66A" w14:textId="77777777" w:rsidR="00295190" w:rsidRPr="00934F01" w:rsidRDefault="00295190" w:rsidP="00295190">
      <w:pPr>
        <w:jc w:val="center"/>
        <w:rPr>
          <w:rFonts w:ascii="Arial" w:hAnsi="Arial" w:cs="Arial"/>
          <w:sz w:val="28"/>
          <w:szCs w:val="28"/>
        </w:rPr>
      </w:pPr>
      <w:r w:rsidRPr="00934F01">
        <w:rPr>
          <w:rFonts w:ascii="Arial" w:hAnsi="Arial" w:cs="Arial"/>
          <w:sz w:val="28"/>
          <w:szCs w:val="28"/>
        </w:rPr>
        <w:t>MINISTARSTVO FINANCIJA</w:t>
      </w:r>
    </w:p>
    <w:p w14:paraId="078DF79E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6C612A55" w14:textId="77777777" w:rsidR="00CF152E" w:rsidRDefault="00CF152E" w:rsidP="00CF152E">
      <w:pPr>
        <w:ind w:left="284" w:right="240"/>
        <w:rPr>
          <w:rFonts w:ascii="Arial" w:hAnsi="Arial" w:cs="Arial"/>
          <w:b/>
        </w:rPr>
      </w:pPr>
    </w:p>
    <w:p w14:paraId="66A1F916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6EDDA4B8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48051DFB" w14:textId="77777777" w:rsidR="00CF152E" w:rsidRDefault="00295190" w:rsidP="00295190">
      <w:pPr>
        <w:tabs>
          <w:tab w:val="left" w:pos="7530"/>
        </w:tabs>
        <w:ind w:left="284" w:right="2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„PRIJEDLOG“</w:t>
      </w:r>
    </w:p>
    <w:p w14:paraId="075BF8D5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6E65C444" w14:textId="77777777" w:rsidR="00F54A47" w:rsidRDefault="00F54A47" w:rsidP="00CF152E">
      <w:pPr>
        <w:ind w:left="284" w:right="240"/>
        <w:jc w:val="center"/>
        <w:rPr>
          <w:rFonts w:ascii="Arial" w:hAnsi="Arial" w:cs="Arial"/>
          <w:b/>
        </w:rPr>
      </w:pPr>
    </w:p>
    <w:p w14:paraId="51274A15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6B51D853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3DE4DA0B" w14:textId="77777777" w:rsidR="00F54A47" w:rsidRDefault="00F54A47" w:rsidP="00CF152E">
      <w:pPr>
        <w:ind w:left="284" w:right="240"/>
        <w:jc w:val="center"/>
        <w:rPr>
          <w:rFonts w:ascii="Arial" w:hAnsi="Arial" w:cs="Arial"/>
          <w:b/>
        </w:rPr>
      </w:pPr>
    </w:p>
    <w:p w14:paraId="0F8DB56F" w14:textId="77777777" w:rsidR="00F54A47" w:rsidRDefault="00F54A47" w:rsidP="00CF152E">
      <w:pPr>
        <w:ind w:left="284" w:right="240"/>
        <w:jc w:val="center"/>
        <w:rPr>
          <w:rFonts w:ascii="Arial" w:hAnsi="Arial" w:cs="Arial"/>
          <w:b/>
        </w:rPr>
      </w:pPr>
    </w:p>
    <w:p w14:paraId="4A762A35" w14:textId="77777777" w:rsidR="00F54A47" w:rsidRDefault="00F54A47" w:rsidP="00CF152E">
      <w:pPr>
        <w:ind w:left="284" w:right="240"/>
        <w:jc w:val="center"/>
        <w:rPr>
          <w:rFonts w:ascii="Arial" w:hAnsi="Arial" w:cs="Arial"/>
          <w:b/>
        </w:rPr>
      </w:pPr>
    </w:p>
    <w:p w14:paraId="323E06A6" w14:textId="77777777" w:rsidR="00295190" w:rsidRDefault="00295190" w:rsidP="00CF152E">
      <w:pPr>
        <w:ind w:left="284" w:right="240"/>
        <w:jc w:val="center"/>
        <w:rPr>
          <w:rFonts w:ascii="Arial" w:hAnsi="Arial" w:cs="Arial"/>
          <w:b/>
        </w:rPr>
      </w:pPr>
    </w:p>
    <w:p w14:paraId="1091EE84" w14:textId="77777777" w:rsidR="00295190" w:rsidRDefault="00295190" w:rsidP="00CF152E">
      <w:pPr>
        <w:ind w:left="284" w:right="240"/>
        <w:jc w:val="center"/>
        <w:rPr>
          <w:rFonts w:ascii="Arial" w:hAnsi="Arial" w:cs="Arial"/>
          <w:b/>
        </w:rPr>
      </w:pPr>
    </w:p>
    <w:p w14:paraId="4977FA1F" w14:textId="77777777" w:rsidR="00295190" w:rsidRDefault="00295190" w:rsidP="00CF152E">
      <w:pPr>
        <w:ind w:left="284" w:right="240"/>
        <w:jc w:val="center"/>
        <w:rPr>
          <w:rFonts w:ascii="Arial" w:hAnsi="Arial" w:cs="Arial"/>
          <w:b/>
        </w:rPr>
      </w:pPr>
    </w:p>
    <w:p w14:paraId="1AC34BA2" w14:textId="77777777" w:rsidR="00295190" w:rsidRDefault="00295190" w:rsidP="00CF152E">
      <w:pPr>
        <w:ind w:left="284" w:right="240"/>
        <w:jc w:val="center"/>
        <w:rPr>
          <w:rFonts w:ascii="Arial" w:hAnsi="Arial" w:cs="Arial"/>
          <w:b/>
        </w:rPr>
      </w:pPr>
    </w:p>
    <w:p w14:paraId="51394D8F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1E613A46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1305424F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</w:rPr>
      </w:pPr>
    </w:p>
    <w:p w14:paraId="4BCD90FD" w14:textId="77777777" w:rsidR="00CF152E" w:rsidRPr="00295190" w:rsidRDefault="00CF152E" w:rsidP="00CF152E">
      <w:pPr>
        <w:jc w:val="center"/>
        <w:rPr>
          <w:b/>
          <w:sz w:val="40"/>
          <w:szCs w:val="40"/>
          <w:lang w:val="hr-BA"/>
        </w:rPr>
      </w:pPr>
      <w:bookmarkStart w:id="0" w:name="_Toc197340762"/>
      <w:r w:rsidRPr="00295190">
        <w:rPr>
          <w:b/>
          <w:sz w:val="40"/>
          <w:szCs w:val="40"/>
          <w:lang w:val="hr-BA"/>
        </w:rPr>
        <w:t>DOKUMENT OKVIRNOG PRORAČUNA HBŽ-e</w:t>
      </w:r>
    </w:p>
    <w:p w14:paraId="28400DE8" w14:textId="6018C96A" w:rsidR="00CF152E" w:rsidRPr="00295190" w:rsidRDefault="00A07D12" w:rsidP="00CF15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hr-BA"/>
        </w:rPr>
        <w:t>ZA RAZDOBLJE 202</w:t>
      </w:r>
      <w:r w:rsidR="002E5BB7">
        <w:rPr>
          <w:b/>
          <w:sz w:val="40"/>
          <w:szCs w:val="40"/>
          <w:lang w:val="hr-BA"/>
        </w:rPr>
        <w:t>7</w:t>
      </w:r>
      <w:r>
        <w:rPr>
          <w:b/>
          <w:sz w:val="40"/>
          <w:szCs w:val="40"/>
          <w:lang w:val="hr-BA"/>
        </w:rPr>
        <w:t>.- 202</w:t>
      </w:r>
      <w:r w:rsidR="002E5BB7">
        <w:rPr>
          <w:b/>
          <w:sz w:val="40"/>
          <w:szCs w:val="40"/>
          <w:lang w:val="hr-BA"/>
        </w:rPr>
        <w:t>9</w:t>
      </w:r>
      <w:r w:rsidR="00CF152E" w:rsidRPr="00295190">
        <w:rPr>
          <w:b/>
          <w:sz w:val="40"/>
          <w:szCs w:val="40"/>
          <w:lang w:val="hr-BA"/>
        </w:rPr>
        <w:t xml:space="preserve">. </w:t>
      </w:r>
      <w:r w:rsidR="00CF152E" w:rsidRPr="00295190">
        <w:rPr>
          <w:b/>
          <w:sz w:val="40"/>
          <w:szCs w:val="40"/>
        </w:rPr>
        <w:t>god</w:t>
      </w:r>
      <w:r w:rsidR="00DD14BB" w:rsidRPr="00295190">
        <w:rPr>
          <w:b/>
          <w:sz w:val="40"/>
          <w:szCs w:val="40"/>
        </w:rPr>
        <w:t>ine</w:t>
      </w:r>
      <w:r w:rsidR="00CF152E" w:rsidRPr="00295190">
        <w:rPr>
          <w:b/>
          <w:sz w:val="40"/>
          <w:szCs w:val="40"/>
        </w:rPr>
        <w:t>.</w:t>
      </w:r>
      <w:bookmarkEnd w:id="0"/>
    </w:p>
    <w:p w14:paraId="3C624883" w14:textId="77777777" w:rsidR="00CF152E" w:rsidRPr="008137E0" w:rsidRDefault="00CF152E" w:rsidP="00CF152E">
      <w:pPr>
        <w:jc w:val="center"/>
        <w:rPr>
          <w:rFonts w:ascii="Arial" w:hAnsi="Arial" w:cs="Arial"/>
          <w:b/>
          <w:sz w:val="36"/>
          <w:szCs w:val="36"/>
          <w:lang w:val="hr-BA"/>
        </w:rPr>
      </w:pPr>
    </w:p>
    <w:p w14:paraId="21848B27" w14:textId="77777777" w:rsidR="00CF152E" w:rsidRDefault="00CF152E" w:rsidP="00CF152E">
      <w:pPr>
        <w:jc w:val="center"/>
        <w:rPr>
          <w:rFonts w:ascii="Arial" w:hAnsi="Arial" w:cs="Arial"/>
          <w:b/>
          <w:sz w:val="24"/>
          <w:szCs w:val="24"/>
          <w:lang w:val="hr-BA"/>
        </w:rPr>
      </w:pPr>
    </w:p>
    <w:p w14:paraId="74DB2E88" w14:textId="77777777" w:rsidR="00CF152E" w:rsidRDefault="00CF152E" w:rsidP="00CF152E">
      <w:pPr>
        <w:ind w:right="240"/>
        <w:jc w:val="center"/>
        <w:rPr>
          <w:rFonts w:ascii="Arial" w:hAnsi="Arial" w:cs="Arial"/>
          <w:b/>
          <w:sz w:val="24"/>
          <w:szCs w:val="24"/>
        </w:rPr>
      </w:pPr>
    </w:p>
    <w:p w14:paraId="17950FAB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4C86DB20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6C9149D1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1CC9C60C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03BF7C3A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640D6395" w14:textId="77777777" w:rsidR="00CF152E" w:rsidRDefault="00CF152E" w:rsidP="00CF152E">
      <w:pPr>
        <w:ind w:left="284" w:right="240"/>
        <w:rPr>
          <w:rFonts w:ascii="Arial" w:hAnsi="Arial" w:cs="Arial"/>
          <w:b/>
          <w:sz w:val="24"/>
          <w:szCs w:val="24"/>
        </w:rPr>
      </w:pPr>
    </w:p>
    <w:p w14:paraId="70B232E7" w14:textId="77777777" w:rsidR="00CF152E" w:rsidRDefault="00CF152E" w:rsidP="00CF152E">
      <w:pPr>
        <w:ind w:left="284" w:right="240"/>
        <w:rPr>
          <w:rFonts w:ascii="Arial" w:hAnsi="Arial" w:cs="Arial"/>
          <w:b/>
          <w:sz w:val="24"/>
          <w:szCs w:val="24"/>
        </w:rPr>
      </w:pPr>
    </w:p>
    <w:p w14:paraId="7F57B7B5" w14:textId="77777777" w:rsidR="00CF152E" w:rsidRDefault="00CF152E" w:rsidP="00CF152E">
      <w:pPr>
        <w:ind w:left="284" w:right="240"/>
        <w:rPr>
          <w:rFonts w:ascii="Arial" w:hAnsi="Arial" w:cs="Arial"/>
          <w:b/>
          <w:sz w:val="24"/>
          <w:szCs w:val="24"/>
        </w:rPr>
      </w:pPr>
    </w:p>
    <w:p w14:paraId="632F9B41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3463FA3C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7A839FAB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26915517" w14:textId="77777777" w:rsidR="00CF152E" w:rsidRDefault="00CF152E" w:rsidP="00295190">
      <w:pPr>
        <w:ind w:right="240"/>
        <w:rPr>
          <w:rFonts w:ascii="Arial" w:hAnsi="Arial" w:cs="Arial"/>
          <w:b/>
          <w:sz w:val="24"/>
          <w:szCs w:val="24"/>
        </w:rPr>
      </w:pPr>
    </w:p>
    <w:p w14:paraId="307A1179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55FD18AF" w14:textId="77777777" w:rsidR="00CF152E" w:rsidRDefault="00CF152E" w:rsidP="00CF152E">
      <w:pPr>
        <w:ind w:left="284" w:right="240"/>
        <w:jc w:val="center"/>
        <w:rPr>
          <w:rFonts w:ascii="Arial" w:hAnsi="Arial" w:cs="Arial"/>
          <w:b/>
          <w:sz w:val="24"/>
          <w:szCs w:val="24"/>
        </w:rPr>
      </w:pPr>
    </w:p>
    <w:p w14:paraId="69A8E796" w14:textId="77777777" w:rsidR="00CF152E" w:rsidRDefault="00CF152E" w:rsidP="00CF152E">
      <w:pPr>
        <w:ind w:left="284" w:right="240"/>
        <w:rPr>
          <w:rFonts w:ascii="Arial" w:hAnsi="Arial" w:cs="Arial"/>
          <w:b/>
          <w:sz w:val="24"/>
          <w:szCs w:val="24"/>
        </w:rPr>
      </w:pPr>
    </w:p>
    <w:p w14:paraId="0FC9428E" w14:textId="77777777" w:rsidR="00CF152E" w:rsidRPr="00621D74" w:rsidRDefault="00CF152E" w:rsidP="00CF152E">
      <w:pPr>
        <w:jc w:val="center"/>
        <w:rPr>
          <w:b/>
          <w:sz w:val="24"/>
          <w:szCs w:val="24"/>
          <w:lang w:val="hr-BA"/>
        </w:rPr>
      </w:pPr>
      <w:r w:rsidRPr="00621D74">
        <w:rPr>
          <w:b/>
          <w:sz w:val="24"/>
          <w:szCs w:val="24"/>
        </w:rPr>
        <w:t xml:space="preserve">Tomislavgrad , </w:t>
      </w:r>
      <w:r w:rsidRPr="00621D74">
        <w:rPr>
          <w:b/>
          <w:sz w:val="24"/>
          <w:szCs w:val="24"/>
          <w:lang w:val="hr-BA"/>
        </w:rPr>
        <w:t>Bosna i Hercegovina</w:t>
      </w:r>
    </w:p>
    <w:p w14:paraId="370B0BFE" w14:textId="7488C8BC" w:rsidR="00CF152E" w:rsidRDefault="00F54A47" w:rsidP="00CF152E">
      <w:pPr>
        <w:jc w:val="center"/>
      </w:pPr>
      <w:r>
        <w:rPr>
          <w:b/>
          <w:sz w:val="24"/>
          <w:szCs w:val="24"/>
          <w:lang w:val="hr-BA"/>
        </w:rPr>
        <w:t>l</w:t>
      </w:r>
      <w:r w:rsidR="00CF152E" w:rsidRPr="00621D74">
        <w:rPr>
          <w:b/>
          <w:sz w:val="24"/>
          <w:szCs w:val="24"/>
          <w:lang w:val="hr-BA"/>
        </w:rPr>
        <w:t>ipanj</w:t>
      </w:r>
      <w:r w:rsidR="00CF152E" w:rsidRPr="00621D74">
        <w:rPr>
          <w:b/>
          <w:sz w:val="24"/>
          <w:szCs w:val="24"/>
        </w:rPr>
        <w:t xml:space="preserve">, </w:t>
      </w:r>
      <w:r w:rsidR="00A07D12">
        <w:rPr>
          <w:b/>
          <w:sz w:val="24"/>
          <w:szCs w:val="24"/>
          <w:lang w:val="hr-BA"/>
        </w:rPr>
        <w:t>202</w:t>
      </w:r>
      <w:r w:rsidR="002E5BB7">
        <w:rPr>
          <w:b/>
          <w:sz w:val="24"/>
          <w:szCs w:val="24"/>
          <w:lang w:val="hr-BA"/>
        </w:rPr>
        <w:t>6</w:t>
      </w:r>
      <w:r w:rsidR="00CF152E">
        <w:rPr>
          <w:b/>
          <w:sz w:val="24"/>
          <w:szCs w:val="24"/>
          <w:lang w:val="hr-BA"/>
        </w:rPr>
        <w:t>. godin</w:t>
      </w:r>
      <w:r w:rsidR="00295190">
        <w:rPr>
          <w:b/>
          <w:sz w:val="24"/>
          <w:szCs w:val="24"/>
          <w:lang w:val="hr-BA"/>
        </w:rPr>
        <w:t>a</w:t>
      </w:r>
    </w:p>
    <w:p w14:paraId="3DD7D0E9" w14:textId="77777777" w:rsidR="00CF152E" w:rsidRPr="00CF152E" w:rsidRDefault="00CF152E" w:rsidP="00CF152E"/>
    <w:p w14:paraId="1B7658FB" w14:textId="77777777" w:rsidR="00CF152E" w:rsidRPr="00CF152E" w:rsidRDefault="00CF152E" w:rsidP="00CF152E"/>
    <w:p w14:paraId="264062F6" w14:textId="77777777" w:rsidR="00CF152E" w:rsidRPr="00CF152E" w:rsidRDefault="00CF152E" w:rsidP="00CF152E"/>
    <w:p w14:paraId="0F213FAD" w14:textId="77777777" w:rsidR="00CF152E" w:rsidRDefault="00CF152E" w:rsidP="00F54A47">
      <w:pPr>
        <w:tabs>
          <w:tab w:val="left" w:pos="1845"/>
        </w:tabs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noProof w:val="0"/>
          <w:color w:val="auto"/>
          <w:sz w:val="22"/>
          <w:szCs w:val="20"/>
        </w:rPr>
        <w:id w:val="86187268"/>
        <w:docPartObj>
          <w:docPartGallery w:val="Table of Contents"/>
          <w:docPartUnique/>
        </w:docPartObj>
      </w:sdtPr>
      <w:sdtEndPr/>
      <w:sdtContent>
        <w:p w14:paraId="09948E31" w14:textId="77777777" w:rsidR="00B47222" w:rsidRDefault="00B47222">
          <w:pPr>
            <w:pStyle w:val="TOCNaslov"/>
          </w:pPr>
          <w:r>
            <w:t>Sadržaj</w:t>
          </w:r>
        </w:p>
        <w:p w14:paraId="1C72AA1A" w14:textId="4E44D424" w:rsidR="005A5819" w:rsidRDefault="00DE2E9B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r>
            <w:fldChar w:fldCharType="begin"/>
          </w:r>
          <w:r w:rsidR="00B47222">
            <w:instrText xml:space="preserve"> TOC \o "1-3" \h \z \u </w:instrText>
          </w:r>
          <w:r>
            <w:fldChar w:fldCharType="separate"/>
          </w:r>
          <w:hyperlink w:anchor="_Toc232407818" w:history="1">
            <w:r w:rsidR="005A5819" w:rsidRPr="00EB765C">
              <w:rPr>
                <w:rStyle w:val="Hiperveza"/>
              </w:rPr>
              <w:t>Lista skraćenica</w:t>
            </w:r>
            <w:r w:rsidR="005A5819">
              <w:rPr>
                <w:webHidden/>
              </w:rPr>
              <w:tab/>
            </w:r>
            <w:r w:rsidR="005A5819">
              <w:rPr>
                <w:webHidden/>
              </w:rPr>
              <w:fldChar w:fldCharType="begin"/>
            </w:r>
            <w:r w:rsidR="005A5819">
              <w:rPr>
                <w:webHidden/>
              </w:rPr>
              <w:instrText xml:space="preserve"> PAGEREF _Toc232407818 \h </w:instrText>
            </w:r>
            <w:r w:rsidR="005A5819">
              <w:rPr>
                <w:webHidden/>
              </w:rPr>
            </w:r>
            <w:r w:rsidR="005A5819">
              <w:rPr>
                <w:webHidden/>
              </w:rPr>
              <w:fldChar w:fldCharType="separate"/>
            </w:r>
            <w:r w:rsidR="005A5819">
              <w:rPr>
                <w:webHidden/>
              </w:rPr>
              <w:t>3</w:t>
            </w:r>
            <w:r w:rsidR="005A5819">
              <w:rPr>
                <w:webHidden/>
              </w:rPr>
              <w:fldChar w:fldCharType="end"/>
            </w:r>
          </w:hyperlink>
        </w:p>
        <w:p w14:paraId="75F47A03" w14:textId="171A1CF8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19" w:history="1">
            <w:r w:rsidRPr="00EB765C">
              <w:rPr>
                <w:rStyle w:val="Hiperveza"/>
              </w:rPr>
              <w:t>Poglavlje 1: Uvod u Dokument okvirnog proračuna za razdoblje 2027.-2029. godine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EF9CBBD" w14:textId="30E0DBB9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0" w:history="1">
            <w:r w:rsidRPr="00EB765C">
              <w:rPr>
                <w:rStyle w:val="Hiperveza"/>
              </w:rPr>
              <w:t>1.1. Uvod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009D4E0" w14:textId="41EDC52B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1" w:history="1">
            <w:r w:rsidRPr="00EB765C">
              <w:rPr>
                <w:rStyle w:val="Hiperveza"/>
                <w:lang w:val="hr-BA"/>
              </w:rPr>
              <w:t>1.2. Informacije o Dokumentu i korištena metodologija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438463A" w14:textId="1463EF12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2" w:history="1">
            <w:r w:rsidRPr="00EB765C">
              <w:rPr>
                <w:rStyle w:val="Hiperveza"/>
                <w:lang w:val="hr-BA"/>
              </w:rPr>
              <w:t>1.3. Struktura dokumenta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DEB0964" w14:textId="578D13C4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23" w:history="1">
            <w:r w:rsidRPr="00EB765C">
              <w:rPr>
                <w:rStyle w:val="Hiperveza"/>
              </w:rPr>
              <w:t>Poglavlje 2: Srednjoročna makroekonomska prognoza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CD437DE" w14:textId="5077EE3A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4" w:history="1">
            <w:r w:rsidRPr="00EB765C">
              <w:rPr>
                <w:rStyle w:val="Hiperveza"/>
              </w:rPr>
              <w:t>2.1. Postojeće ekonomsko stanje i makroekonomski trendovi u BIH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7000C4" w14:textId="7036529D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5" w:history="1">
            <w:r w:rsidRPr="00EB765C">
              <w:rPr>
                <w:rStyle w:val="Hiperveza"/>
              </w:rPr>
              <w:t>2.2. Federacija BiH - BDP projekcije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7DA0CC3" w14:textId="4630C75C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6" w:history="1">
            <w:r w:rsidRPr="00EB765C">
              <w:rPr>
                <w:rStyle w:val="Hiperveza"/>
                <w:noProof/>
              </w:rPr>
              <w:t>2.2.1. Ekonomski rast u Federaciji BiH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85919" w14:textId="7EBD6290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7" w:history="1">
            <w:r w:rsidRPr="00EB765C">
              <w:rPr>
                <w:rStyle w:val="Hiperveza"/>
                <w:noProof/>
              </w:rPr>
              <w:t>2.2.2. Rizici od projekcije prihoda u Federaciji BIH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F0020" w14:textId="09332109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28" w:history="1">
            <w:r w:rsidRPr="00EB765C">
              <w:rPr>
                <w:rStyle w:val="Hiperveza"/>
              </w:rPr>
              <w:t>Poglavlje 3: Srednjoročna fiskalna strategija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4E4C922" w14:textId="1A0CB2E7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29" w:history="1">
            <w:r w:rsidRPr="00EB765C">
              <w:rPr>
                <w:rStyle w:val="Hiperveza"/>
              </w:rPr>
              <w:t>3.1. Osnovne pretpostavke i ciljevi makroekonomske politike BiH i Federacije BiH u  razdoblju 2027. – 2029. godine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804DA6B" w14:textId="2260C71E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0" w:history="1">
            <w:r w:rsidRPr="00EB765C">
              <w:rPr>
                <w:rStyle w:val="Hiperveza"/>
              </w:rPr>
              <w:t>3.2. Neizravni porezi koji se prikupljaju na račun Uprave za neizravno oporezivanje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D3C1622" w14:textId="6848D690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1" w:history="1">
            <w:r w:rsidRPr="00EB765C">
              <w:rPr>
                <w:rStyle w:val="Hiperveza"/>
              </w:rPr>
              <w:t>3.3. Prihodi koji se prikupljaju od strane Županije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529F956" w14:textId="652A996C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2" w:history="1">
            <w:r w:rsidRPr="00EB765C">
              <w:rPr>
                <w:rStyle w:val="Hiperveza"/>
                <w:rFonts w:asciiTheme="majorHAnsi" w:eastAsiaTheme="majorEastAsia" w:hAnsiTheme="majorHAnsi" w:cstheme="majorBidi"/>
                <w:bCs/>
                <w:i/>
                <w:noProof/>
                <w:lang w:eastAsia="hr-HR"/>
              </w:rPr>
              <w:t>5.1.2. Neporezni prihod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F09B3" w14:textId="503BA3D4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3" w:history="1">
            <w:r w:rsidRPr="00EB765C">
              <w:rPr>
                <w:rStyle w:val="Hiperveza"/>
                <w:noProof/>
              </w:rPr>
              <w:t>3.3.1. Rizici po projekcije prihoda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3C702" w14:textId="3BF89021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4" w:history="1">
            <w:r w:rsidRPr="00EB765C">
              <w:rPr>
                <w:rStyle w:val="Hiperveza"/>
              </w:rPr>
              <w:t>3.4. Ukupni rashodi Hercegbosanske županije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5A666D4B" w14:textId="1C80AE3A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5" w:history="1">
            <w:r w:rsidRPr="00EB765C">
              <w:rPr>
                <w:rStyle w:val="Hiperveza"/>
              </w:rPr>
              <w:t>3.5. Financiranje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67BC0B9" w14:textId="52B0B95B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36" w:history="1">
            <w:r w:rsidRPr="00EB765C">
              <w:rPr>
                <w:rStyle w:val="Hiperveza"/>
              </w:rPr>
              <w:t>Poglavlje 4: Upravljanje potrošnjom javnog sektora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49D30F3" w14:textId="52862872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7" w:history="1">
            <w:r w:rsidRPr="00EB765C">
              <w:rPr>
                <w:rStyle w:val="Hiperveza"/>
              </w:rPr>
              <w:t>4.1. Opća struktura i trendovi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D6BDFE0" w14:textId="15144CE0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8" w:history="1">
            <w:r w:rsidRPr="00EB765C">
              <w:rPr>
                <w:rStyle w:val="Hiperveza"/>
                <w:noProof/>
              </w:rPr>
              <w:t>4.1.1. Plaće i naknade u javnom sektoru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8691F" w14:textId="16EED38F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39" w:history="1">
            <w:r w:rsidRPr="00EB765C">
              <w:rPr>
                <w:rStyle w:val="Hiperveza"/>
                <w:noProof/>
              </w:rPr>
              <w:t>4.1.2. Izdatci za materijal i usluge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58E73" w14:textId="49297E75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40" w:history="1">
            <w:r w:rsidRPr="00EB765C">
              <w:rPr>
                <w:rStyle w:val="Hiperveza"/>
                <w:noProof/>
                <w:lang w:val="hr-BA"/>
              </w:rPr>
              <w:t>4.1.3. Tekući transferi-potpore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6907E" w14:textId="0D6C0818" w:rsidR="005A5819" w:rsidRDefault="005A5819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41" w:history="1">
            <w:r w:rsidRPr="00EB765C">
              <w:rPr>
                <w:rStyle w:val="Hiperveza"/>
                <w:noProof/>
              </w:rPr>
              <w:t>4.1.4. Kapitalni izdatci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_Toc232407841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20CE3" w14:textId="1D4787C1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42" w:history="1">
            <w:r w:rsidRPr="00EB765C">
              <w:rPr>
                <w:rStyle w:val="Hiperveza"/>
              </w:rPr>
              <w:t>Poglavlje 5: Strategija upravljanja dugom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CA53582" w14:textId="2EBE115A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43" w:history="1">
            <w:r w:rsidRPr="00EB765C">
              <w:rPr>
                <w:rStyle w:val="Hiperveza"/>
              </w:rPr>
              <w:t>5.1. Razina unutarnjeg duga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9029C49" w14:textId="0FEBBFB5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44" w:history="1">
            <w:r w:rsidRPr="00EB765C">
              <w:rPr>
                <w:rStyle w:val="Hiperveza"/>
              </w:rPr>
              <w:t>5.2. Razina vanjskog duga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432711E" w14:textId="6D0CDD59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45" w:history="1">
            <w:r w:rsidRPr="00EB765C">
              <w:rPr>
                <w:rStyle w:val="Hiperveza"/>
              </w:rPr>
              <w:t>Poglavlje 6: Projekcija prihoda i rashoda proračuna općina i Zavoda HBŽ-e za razdoblje 2027.-2029. godine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1E2A4226" w14:textId="5AA57FF3" w:rsidR="005A5819" w:rsidRDefault="005A5819">
          <w:pPr>
            <w:pStyle w:val="Sadraj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32407846" w:history="1">
            <w:r w:rsidRPr="00EB765C">
              <w:rPr>
                <w:rStyle w:val="Hiperveza"/>
              </w:rPr>
              <w:t>6.1. Uvod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63872C3" w14:textId="6B3AF39B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47" w:history="1">
            <w:r w:rsidRPr="00EB765C">
              <w:rPr>
                <w:rStyle w:val="Hiperveza"/>
              </w:rPr>
              <w:t>Privitak: Okvirna fiskalna tablica Hercegbosanske županije za razdoblje  2025.-2029.g. (u mil. KM)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4E977D34" w14:textId="5A677DFD" w:rsidR="005A5819" w:rsidRDefault="005A5819">
          <w:pPr>
            <w:pStyle w:val="Sadraj1"/>
            <w:rPr>
              <w:rFonts w:asciiTheme="minorHAnsi" w:eastAsiaTheme="minorEastAsia" w:hAnsiTheme="minorHAnsi" w:cstheme="minorBidi"/>
              <w:b w:val="0"/>
              <w:kern w:val="2"/>
              <w:lang w:eastAsia="hr-HR"/>
              <w14:ligatures w14:val="standardContextual"/>
            </w:rPr>
          </w:pPr>
          <w:hyperlink w:anchor="_Toc232407848" w:history="1">
            <w:r w:rsidRPr="00EB765C">
              <w:rPr>
                <w:rStyle w:val="Hiperveza"/>
              </w:rPr>
              <w:t>Okvirni prijedlog razine (plafoni) financijskih planova proračunskih korisnika Hercegbosanske županije za razdoblje 2027.- 2029. godine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_Toc232407848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601B9206" w14:textId="24AB0FFB" w:rsidR="00B47222" w:rsidRDefault="00DE2E9B">
          <w:r>
            <w:fldChar w:fldCharType="end"/>
          </w:r>
        </w:p>
      </w:sdtContent>
    </w:sdt>
    <w:p w14:paraId="1CBDE645" w14:textId="77777777" w:rsidR="004D3082" w:rsidRDefault="004D3082" w:rsidP="004D3082"/>
    <w:p w14:paraId="3C37A2BC" w14:textId="77777777" w:rsidR="004D3082" w:rsidRDefault="004D3082" w:rsidP="004D3082"/>
    <w:p w14:paraId="3D6ACC95" w14:textId="77777777" w:rsidR="00CF152E" w:rsidRPr="00F54A47" w:rsidRDefault="00CF152E" w:rsidP="004D3082">
      <w:pPr>
        <w:rPr>
          <w:sz w:val="32"/>
          <w:szCs w:val="32"/>
          <w:u w:val="single"/>
        </w:rPr>
      </w:pPr>
      <w:r w:rsidRPr="00F54A47">
        <w:rPr>
          <w:sz w:val="32"/>
          <w:szCs w:val="32"/>
          <w:u w:val="single"/>
        </w:rPr>
        <w:t>Popis Tablica:</w:t>
      </w:r>
    </w:p>
    <w:p w14:paraId="45373224" w14:textId="77777777" w:rsidR="00CF152E" w:rsidRDefault="00CF152E" w:rsidP="00CF152E">
      <w:pPr>
        <w:tabs>
          <w:tab w:val="left" w:pos="1800"/>
        </w:tabs>
        <w:spacing w:line="288" w:lineRule="auto"/>
        <w:ind w:right="-180"/>
        <w:outlineLvl w:val="0"/>
        <w:rPr>
          <w:rFonts w:ascii="Arial" w:hAnsi="Arial" w:cs="Arial"/>
          <w:sz w:val="20"/>
        </w:rPr>
      </w:pPr>
    </w:p>
    <w:p w14:paraId="3736E6F5" w14:textId="04639E65" w:rsidR="005A5819" w:rsidRDefault="00DE2E9B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hAnsi="Arial" w:cs="Arial"/>
          <w:sz w:val="20"/>
        </w:rPr>
        <w:fldChar w:fldCharType="begin"/>
      </w:r>
      <w:r w:rsidR="00877702">
        <w:rPr>
          <w:rFonts w:ascii="Arial" w:hAnsi="Arial" w:cs="Arial"/>
          <w:sz w:val="20"/>
        </w:rPr>
        <w:instrText xml:space="preserve"> TOC \h \z \c "Tablica" </w:instrText>
      </w:r>
      <w:r>
        <w:rPr>
          <w:rFonts w:ascii="Arial" w:hAnsi="Arial" w:cs="Arial"/>
          <w:sz w:val="20"/>
        </w:rPr>
        <w:fldChar w:fldCharType="separate"/>
      </w:r>
      <w:hyperlink w:anchor="_Toc232407849" w:history="1">
        <w:r w:rsidR="005A5819" w:rsidRPr="00A82D42">
          <w:rPr>
            <w:rStyle w:val="Hiperveza"/>
            <w:noProof/>
          </w:rPr>
          <w:t>Tablica 1. Makroekonomski pokazatelji za BiH za razdoblje 2024.- 2029. Godine</w:t>
        </w:r>
        <w:r w:rsidR="005A5819">
          <w:rPr>
            <w:noProof/>
            <w:webHidden/>
          </w:rPr>
          <w:tab/>
        </w:r>
        <w:r w:rsidR="005A5819">
          <w:rPr>
            <w:noProof/>
            <w:webHidden/>
          </w:rPr>
          <w:fldChar w:fldCharType="begin"/>
        </w:r>
        <w:r w:rsidR="005A5819">
          <w:rPr>
            <w:noProof/>
            <w:webHidden/>
          </w:rPr>
          <w:instrText xml:space="preserve"> PAGEREF _Toc232407849 \h </w:instrText>
        </w:r>
        <w:r w:rsidR="005A5819">
          <w:rPr>
            <w:noProof/>
            <w:webHidden/>
          </w:rPr>
        </w:r>
        <w:r w:rsidR="005A5819">
          <w:rPr>
            <w:noProof/>
            <w:webHidden/>
          </w:rPr>
          <w:fldChar w:fldCharType="separate"/>
        </w:r>
        <w:r w:rsidR="005A5819">
          <w:rPr>
            <w:noProof/>
            <w:webHidden/>
          </w:rPr>
          <w:t>8</w:t>
        </w:r>
        <w:r w:rsidR="005A5819">
          <w:rPr>
            <w:noProof/>
            <w:webHidden/>
          </w:rPr>
          <w:fldChar w:fldCharType="end"/>
        </w:r>
      </w:hyperlink>
    </w:p>
    <w:p w14:paraId="50470930" w14:textId="78189509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0" w:history="1">
        <w:r w:rsidRPr="00A82D42">
          <w:rPr>
            <w:rStyle w:val="Hiperveza"/>
            <w:noProof/>
          </w:rPr>
          <w:t>Tablica 2. Makroekonomski pokazatelji Federacije BIH 2020.-2024. godina u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385B84" w14:textId="2DE7798C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1" w:history="1">
        <w:r w:rsidRPr="00A82D42">
          <w:rPr>
            <w:rStyle w:val="Hiperveza"/>
            <w:noProof/>
          </w:rPr>
          <w:t>Tablica 3. Raspodjela prihoda od neizravnih poreza entitetima i Distriktu Brčko  u milijunima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1BB212" w14:textId="326704EA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2" w:history="1">
        <w:r w:rsidRPr="00A82D42">
          <w:rPr>
            <w:rStyle w:val="Hiperveza"/>
            <w:noProof/>
          </w:rPr>
          <w:t>Tablica 4. Projekcija prihoda od poreza na dohodak u Hercegbosanskoj županiji za razdoblje 2027.-2029. godina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A8B0B38" w14:textId="353B9B99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3" w:history="1">
        <w:r w:rsidRPr="00A82D42">
          <w:rPr>
            <w:rStyle w:val="Hiperveza"/>
            <w:noProof/>
          </w:rPr>
          <w:t>Tablica 5. Prihodi Hercegbosanske županije za razdoblje 2027.-2029. godina u mil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3A4367" w14:textId="3A3DCF42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4" w:history="1">
        <w:r w:rsidRPr="00A82D42">
          <w:rPr>
            <w:rStyle w:val="Hiperveza"/>
            <w:noProof/>
          </w:rPr>
          <w:t>Tablica 6. Rashodi Hercegbosanske županije za razdoblje 2027.-2029. godine u mil.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D389B02" w14:textId="1FC8F43F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5" w:history="1">
        <w:r w:rsidRPr="00A82D42">
          <w:rPr>
            <w:rStyle w:val="Hiperveza"/>
            <w:noProof/>
          </w:rPr>
          <w:t>Tablica 7. Račun financiranja za razdoblje 2027.-2029. godina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F9F9EB3" w14:textId="1B71868B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6" w:history="1">
        <w:r w:rsidRPr="00A82D42">
          <w:rPr>
            <w:rStyle w:val="Hiperveza"/>
            <w:noProof/>
          </w:rPr>
          <w:t>Tablica 8. Primarna fiskalna bilanca Hercegbosanske županije za razdoblje 2026.-2028.g.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9982659" w14:textId="4663642A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7" w:history="1">
        <w:r w:rsidRPr="00A82D42">
          <w:rPr>
            <w:rStyle w:val="Hiperveza"/>
            <w:noProof/>
          </w:rPr>
          <w:t>Tablica 9. Plaće i naknade i broj uposlenih u Hercegbosanskoj županiji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D03FEC5" w14:textId="08860F96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8" w:history="1">
        <w:r w:rsidRPr="00A82D42">
          <w:rPr>
            <w:rStyle w:val="Hiperveza"/>
            <w:noProof/>
          </w:rPr>
          <w:t>Tablica 10. Tekuće potpore u Hercegbosanskoj županiji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D51AEA0" w14:textId="0BE2116C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59" w:history="1">
        <w:r w:rsidRPr="00A82D42">
          <w:rPr>
            <w:rStyle w:val="Hiperveza"/>
            <w:noProof/>
          </w:rPr>
          <w:t>Tablica 11. Kapitalni izdatci Hercegbosanske županije za razdoblje2025.-2029.g. (u mil. KM)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1A4E88C" w14:textId="2A8330AB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0" w:history="1">
        <w:r w:rsidRPr="00A82D42">
          <w:rPr>
            <w:rStyle w:val="Hiperveza"/>
            <w:noProof/>
          </w:rPr>
          <w:t>Tablica 12. Dug Hercegbosanske županije po ino-kreditima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E7A1416" w14:textId="357C031D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1" w:history="1">
        <w:r w:rsidRPr="00A82D42">
          <w:rPr>
            <w:rStyle w:val="Hiperveza"/>
            <w:noProof/>
          </w:rPr>
          <w:t>Tablica 13. Projekcija prihoda i rashoda općina HBŽ-e za razdoblje 2027.-2029.godine (sintetički ekon. kod)  u apsolutnim iznosima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C613F92" w14:textId="47DFF399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2" w:history="1">
        <w:r w:rsidRPr="00A82D42">
          <w:rPr>
            <w:rStyle w:val="Hiperveza"/>
            <w:noProof/>
          </w:rPr>
          <w:t>Tablica 14. Projekcija prihoda i struktura izvršenja proračuna općina HBŽ-e za razdoblje 2027.-2029.godine-prihodi i primitci u apsolutnim iznosima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9D0AAFE" w14:textId="592813CD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3" w:history="1">
        <w:r w:rsidRPr="00A82D42">
          <w:rPr>
            <w:rStyle w:val="Hiperveza"/>
            <w:noProof/>
          </w:rPr>
          <w:t>Tablica 15. Projekcija rashoda i struktura izvršenja proračuna općina HBŽ-e za razdoblje 2027.-2029. Godine u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53C9BC7" w14:textId="37782851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4" w:history="1">
        <w:r w:rsidRPr="00A82D42">
          <w:rPr>
            <w:rStyle w:val="Hiperveza"/>
            <w:noProof/>
          </w:rPr>
          <w:t>Tablica 16. Projekcija prihoda i rashoda Županiskog Zavoda za upošljavanje za razdobljhe 2027.-2029. godine u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1310266" w14:textId="44DA44E4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5" w:history="1">
        <w:r w:rsidRPr="00A82D42">
          <w:rPr>
            <w:rStyle w:val="Hiperveza"/>
            <w:noProof/>
          </w:rPr>
          <w:t>Tablica 17. Projekcija prihoda i rashoda Županiskog Zavoda za zdravstveno osiguranje za razdoblje 2027-2029. godine u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035EC7B" w14:textId="65270CA3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6" w:history="1">
        <w:r w:rsidRPr="00A82D42">
          <w:rPr>
            <w:rStyle w:val="Hiperveza"/>
            <w:noProof/>
          </w:rPr>
          <w:t>Tablica 18. Prihodi općina HBŽ-e za razdoblje od 2025.-2029.g. u mil.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FBDF3F7" w14:textId="35AD8A7B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7" w:history="1">
        <w:r w:rsidRPr="00A82D42">
          <w:rPr>
            <w:rStyle w:val="Hiperveza"/>
            <w:noProof/>
          </w:rPr>
          <w:t>Tablica 19. Rashodi općina HBŽ-e za razdoblje od 2025.-2029.g. u mil. KM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F2B2FAD" w14:textId="554516EE" w:rsidR="00CF152E" w:rsidRDefault="00DE2E9B" w:rsidP="00CF152E">
      <w:pPr>
        <w:tabs>
          <w:tab w:val="left" w:pos="1800"/>
        </w:tabs>
        <w:spacing w:line="288" w:lineRule="auto"/>
        <w:ind w:right="-18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end"/>
      </w:r>
    </w:p>
    <w:p w14:paraId="76D0C2D5" w14:textId="77777777" w:rsidR="00CF152E" w:rsidRDefault="00CF152E" w:rsidP="00CF152E">
      <w:pPr>
        <w:tabs>
          <w:tab w:val="left" w:pos="1800"/>
        </w:tabs>
        <w:spacing w:line="288" w:lineRule="auto"/>
        <w:ind w:right="-180"/>
        <w:outlineLvl w:val="0"/>
        <w:rPr>
          <w:rFonts w:ascii="Arial" w:hAnsi="Arial" w:cs="Arial"/>
          <w:sz w:val="20"/>
        </w:rPr>
      </w:pPr>
    </w:p>
    <w:p w14:paraId="41CF4E0E" w14:textId="77777777" w:rsidR="00CF152E" w:rsidRDefault="00CF152E" w:rsidP="00CF152E">
      <w:pPr>
        <w:tabs>
          <w:tab w:val="left" w:pos="1800"/>
        </w:tabs>
        <w:spacing w:line="288" w:lineRule="auto"/>
        <w:ind w:right="-180"/>
        <w:outlineLvl w:val="0"/>
        <w:rPr>
          <w:rFonts w:ascii="Arial" w:hAnsi="Arial" w:cs="Arial"/>
          <w:sz w:val="20"/>
        </w:rPr>
      </w:pPr>
    </w:p>
    <w:p w14:paraId="48F23F7C" w14:textId="77777777" w:rsidR="00CF152E" w:rsidRPr="00F54A47" w:rsidRDefault="00CF152E" w:rsidP="004D3082">
      <w:pPr>
        <w:rPr>
          <w:sz w:val="32"/>
          <w:szCs w:val="32"/>
          <w:u w:val="single"/>
        </w:rPr>
      </w:pPr>
      <w:r w:rsidRPr="00F54A47">
        <w:rPr>
          <w:sz w:val="32"/>
          <w:szCs w:val="32"/>
          <w:u w:val="single"/>
        </w:rPr>
        <w:t>Popis Grafikona:</w:t>
      </w:r>
    </w:p>
    <w:p w14:paraId="107A4E11" w14:textId="77777777" w:rsidR="00CF152E" w:rsidRDefault="00CF152E" w:rsidP="00CF152E">
      <w:pPr>
        <w:tabs>
          <w:tab w:val="left" w:pos="1800"/>
        </w:tabs>
        <w:spacing w:line="288" w:lineRule="auto"/>
        <w:ind w:right="-180"/>
        <w:outlineLvl w:val="0"/>
        <w:rPr>
          <w:rFonts w:ascii="Arial" w:hAnsi="Arial" w:cs="Arial"/>
          <w:sz w:val="20"/>
        </w:rPr>
      </w:pPr>
    </w:p>
    <w:p w14:paraId="267FAA36" w14:textId="0080F522" w:rsidR="005A5819" w:rsidRDefault="00DE2E9B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hAnsi="Arial" w:cs="Arial"/>
          <w:sz w:val="20"/>
        </w:rPr>
        <w:fldChar w:fldCharType="begin"/>
      </w:r>
      <w:r w:rsidR="00BD19AE">
        <w:rPr>
          <w:rFonts w:ascii="Arial" w:hAnsi="Arial" w:cs="Arial"/>
          <w:sz w:val="20"/>
        </w:rPr>
        <w:instrText xml:space="preserve"> TOC \h \z \c "Grafikon" </w:instrText>
      </w:r>
      <w:r>
        <w:rPr>
          <w:rFonts w:ascii="Arial" w:hAnsi="Arial" w:cs="Arial"/>
          <w:sz w:val="20"/>
        </w:rPr>
        <w:fldChar w:fldCharType="separate"/>
      </w:r>
      <w:hyperlink w:anchor="_Toc232407868" w:history="1">
        <w:r w:rsidR="005A5819" w:rsidRPr="00896065">
          <w:rPr>
            <w:rStyle w:val="Hiperveza"/>
            <w:noProof/>
          </w:rPr>
          <w:t>Grafikon 1.  Planirana struktura potrošnje HBŽ-e za 2027. g. (iskazano u % ukupnog proračuna)</w:t>
        </w:r>
        <w:r w:rsidR="005A5819">
          <w:rPr>
            <w:noProof/>
            <w:webHidden/>
          </w:rPr>
          <w:tab/>
        </w:r>
        <w:r w:rsidR="005A5819">
          <w:rPr>
            <w:noProof/>
            <w:webHidden/>
          </w:rPr>
          <w:fldChar w:fldCharType="begin"/>
        </w:r>
        <w:r w:rsidR="005A5819">
          <w:rPr>
            <w:noProof/>
            <w:webHidden/>
          </w:rPr>
          <w:instrText xml:space="preserve"> PAGEREF _Toc232407868 \h </w:instrText>
        </w:r>
        <w:r w:rsidR="005A5819">
          <w:rPr>
            <w:noProof/>
            <w:webHidden/>
          </w:rPr>
        </w:r>
        <w:r w:rsidR="005A5819">
          <w:rPr>
            <w:noProof/>
            <w:webHidden/>
          </w:rPr>
          <w:fldChar w:fldCharType="separate"/>
        </w:r>
        <w:r w:rsidR="005A5819">
          <w:rPr>
            <w:noProof/>
            <w:webHidden/>
          </w:rPr>
          <w:t>22</w:t>
        </w:r>
        <w:r w:rsidR="005A5819">
          <w:rPr>
            <w:noProof/>
            <w:webHidden/>
          </w:rPr>
          <w:fldChar w:fldCharType="end"/>
        </w:r>
      </w:hyperlink>
    </w:p>
    <w:p w14:paraId="0AB1AD3E" w14:textId="7709B3AA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69" w:history="1">
        <w:r w:rsidRPr="00896065">
          <w:rPr>
            <w:rStyle w:val="Hiperveza"/>
            <w:noProof/>
          </w:rPr>
          <w:t>Grafikon 2. Trend strukture potrošnje HBŽ-e za razdoblje 2026.-2027. godine (% ukupnog proračuna)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D4FCBE9" w14:textId="59148410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70" w:history="1">
        <w:r w:rsidRPr="00896065">
          <w:rPr>
            <w:rStyle w:val="Hiperveza"/>
            <w:noProof/>
          </w:rPr>
          <w:t>Grafikon 3. Odnos između materijalnih troškova i potrošnje na plaće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4E7FD0" w14:textId="48E39972" w:rsidR="005A5819" w:rsidRDefault="005A5819">
      <w:pPr>
        <w:pStyle w:val="Tablicaslika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hyperlink w:anchor="_Toc232407871" w:history="1">
        <w:r w:rsidRPr="00896065">
          <w:rPr>
            <w:rStyle w:val="Hiperveza"/>
            <w:noProof/>
          </w:rPr>
          <w:t>Grafikon 4. Tekuće potpore/transferi unutar Proračuna Hercegbosanske županije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_Toc232407871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1A723EE" w14:textId="338A240F" w:rsidR="00CF152E" w:rsidRDefault="00DE2E9B" w:rsidP="00CF152E">
      <w:pPr>
        <w:tabs>
          <w:tab w:val="left" w:pos="1845"/>
        </w:tabs>
      </w:pPr>
      <w:r>
        <w:rPr>
          <w:rFonts w:ascii="Arial" w:hAnsi="Arial" w:cs="Arial"/>
          <w:sz w:val="20"/>
        </w:rPr>
        <w:fldChar w:fldCharType="end"/>
      </w:r>
    </w:p>
    <w:p w14:paraId="141A2F9D" w14:textId="77777777" w:rsidR="00CF152E" w:rsidRPr="00CF152E" w:rsidRDefault="00CF152E" w:rsidP="00CF152E"/>
    <w:p w14:paraId="4BA15ED2" w14:textId="77777777" w:rsidR="00CF152E" w:rsidRPr="00CF152E" w:rsidRDefault="00CF152E" w:rsidP="00CF152E"/>
    <w:p w14:paraId="08BF6E64" w14:textId="77777777" w:rsidR="00CF152E" w:rsidRPr="00CF152E" w:rsidRDefault="00CF152E" w:rsidP="00CF152E"/>
    <w:p w14:paraId="32FAAC79" w14:textId="77777777" w:rsidR="00CF152E" w:rsidRPr="00CF152E" w:rsidRDefault="00CF152E" w:rsidP="00CF152E"/>
    <w:p w14:paraId="6269C7A9" w14:textId="77777777" w:rsidR="004D3082" w:rsidRDefault="004D3082" w:rsidP="00EC13F1">
      <w:pPr>
        <w:pStyle w:val="Heading1-BFP"/>
        <w:ind w:left="0"/>
        <w:jc w:val="left"/>
        <w:sectPr w:rsidR="004D3082" w:rsidSect="0070430E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Toc197340763"/>
      <w:bookmarkStart w:id="2" w:name="_Toc106015328"/>
    </w:p>
    <w:p w14:paraId="0F1D965C" w14:textId="77777777" w:rsidR="00CF152E" w:rsidRDefault="00CF152E" w:rsidP="00EC13F1">
      <w:pPr>
        <w:pStyle w:val="Heading1-BFP"/>
        <w:ind w:left="0"/>
        <w:jc w:val="left"/>
      </w:pPr>
      <w:bookmarkStart w:id="3" w:name="_Toc232407818"/>
      <w:r>
        <w:lastRenderedPageBreak/>
        <w:t>Lista skraćenica</w:t>
      </w:r>
      <w:bookmarkEnd w:id="1"/>
      <w:bookmarkEnd w:id="2"/>
      <w:bookmarkEnd w:id="3"/>
    </w:p>
    <w:p w14:paraId="7D1DF37A" w14:textId="77777777" w:rsidR="00CF152E" w:rsidRDefault="00CF152E" w:rsidP="00CF15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8" w:space="0" w:color="999999"/>
          <w:right w:val="single" w:sz="18" w:space="0" w:color="999999"/>
        </w:tblBorders>
        <w:tblLook w:val="01E0" w:firstRow="1" w:lastRow="1" w:firstColumn="1" w:lastColumn="1" w:noHBand="0" w:noVBand="0"/>
      </w:tblPr>
      <w:tblGrid>
        <w:gridCol w:w="2305"/>
        <w:gridCol w:w="6631"/>
      </w:tblGrid>
      <w:tr w:rsidR="00CF152E" w14:paraId="00D8ADE5" w14:textId="77777777" w:rsidTr="00CF152E">
        <w:trPr>
          <w:trHeight w:val="437"/>
        </w:trPr>
        <w:tc>
          <w:tcPr>
            <w:tcW w:w="2335" w:type="dxa"/>
            <w:vAlign w:val="center"/>
          </w:tcPr>
          <w:p w14:paraId="01128809" w14:textId="77777777" w:rsidR="00CF152E" w:rsidRDefault="00CF152E" w:rsidP="00CF152E">
            <w:pPr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Skraćenice</w:t>
            </w:r>
          </w:p>
        </w:tc>
        <w:tc>
          <w:tcPr>
            <w:tcW w:w="6776" w:type="dxa"/>
            <w:vAlign w:val="center"/>
          </w:tcPr>
          <w:p w14:paraId="3EF9665C" w14:textId="77777777" w:rsidR="00CF152E" w:rsidRDefault="00CF152E" w:rsidP="00CF152E">
            <w:pPr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Puni naziv</w:t>
            </w:r>
          </w:p>
        </w:tc>
      </w:tr>
      <w:tr w:rsidR="00CF152E" w14:paraId="220EB6F4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1393DA4C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</w:p>
          <w:p w14:paraId="2A2A609E" w14:textId="77777777" w:rsidR="00CF152E" w:rsidRDefault="005B3FF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2025.-2027</w:t>
            </w:r>
            <w:r w:rsidR="00CF152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776" w:type="dxa"/>
            <w:tcMar>
              <w:bottom w:w="57" w:type="dxa"/>
            </w:tcMar>
          </w:tcPr>
          <w:p w14:paraId="36C9458F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</w:p>
          <w:p w14:paraId="627E4AF6" w14:textId="77777777" w:rsidR="00CF152E" w:rsidRDefault="005B3FF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Srednjoročno razdoblje od 2025. do 2027</w:t>
            </w:r>
            <w:r w:rsidR="00CF152E">
              <w:rPr>
                <w:rFonts w:ascii="Arial" w:hAnsi="Arial" w:cs="Arial"/>
                <w:sz w:val="20"/>
              </w:rPr>
              <w:t>.godine</w:t>
            </w:r>
          </w:p>
        </w:tc>
      </w:tr>
      <w:tr w:rsidR="00CF152E" w14:paraId="482F0222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98D8496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</w:t>
            </w:r>
          </w:p>
        </w:tc>
        <w:tc>
          <w:tcPr>
            <w:tcW w:w="6776" w:type="dxa"/>
            <w:tcMar>
              <w:bottom w:w="57" w:type="dxa"/>
            </w:tcMar>
          </w:tcPr>
          <w:p w14:paraId="35242F15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Adjustment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Credit </w:t>
            </w:r>
            <w:r>
              <w:rPr>
                <w:rFonts w:ascii="Arial" w:hAnsi="Arial" w:cs="Arial"/>
                <w:color w:val="000000"/>
                <w:sz w:val="20"/>
              </w:rPr>
              <w:t>(Kredit za usklađivanje poslovnog okruženja)</w:t>
            </w:r>
          </w:p>
        </w:tc>
      </w:tr>
      <w:tr w:rsidR="00CF152E" w14:paraId="0F720BBE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4E71B375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BDP</w:t>
            </w:r>
          </w:p>
        </w:tc>
        <w:tc>
          <w:tcPr>
            <w:tcW w:w="6776" w:type="dxa"/>
            <w:tcMar>
              <w:bottom w:w="57" w:type="dxa"/>
            </w:tcMar>
          </w:tcPr>
          <w:p w14:paraId="7AFE78ED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Bruto društveni proizvod</w:t>
            </w:r>
          </w:p>
        </w:tc>
      </w:tr>
      <w:tr w:rsidR="00CF152E" w14:paraId="3CA68813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5394461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BiH</w:t>
            </w:r>
          </w:p>
        </w:tc>
        <w:tc>
          <w:tcPr>
            <w:tcW w:w="6776" w:type="dxa"/>
            <w:tcMar>
              <w:bottom w:w="57" w:type="dxa"/>
            </w:tcMar>
          </w:tcPr>
          <w:p w14:paraId="2100F43D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Bosna i Hercegovina</w:t>
            </w:r>
          </w:p>
        </w:tc>
      </w:tr>
      <w:tr w:rsidR="00CF152E" w14:paraId="44D9FF71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5BBF186B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CEB</w:t>
            </w:r>
          </w:p>
        </w:tc>
        <w:tc>
          <w:tcPr>
            <w:tcW w:w="6776" w:type="dxa"/>
            <w:tcMar>
              <w:bottom w:w="57" w:type="dxa"/>
            </w:tcMar>
          </w:tcPr>
          <w:p w14:paraId="4D18A0B4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Council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Europe Development Bank</w:t>
            </w:r>
            <w:r>
              <w:rPr>
                <w:rFonts w:ascii="Arial" w:hAnsi="Arial" w:cs="Arial"/>
                <w:sz w:val="20"/>
              </w:rPr>
              <w:t xml:space="preserve"> (Razvojna banka Vijeća Europe)</w:t>
            </w:r>
          </w:p>
        </w:tc>
      </w:tr>
      <w:tr w:rsidR="00CF152E" w14:paraId="4BAD24CE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7A297B06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6776" w:type="dxa"/>
            <w:tcMar>
              <w:bottom w:w="57" w:type="dxa"/>
            </w:tcMar>
          </w:tcPr>
          <w:p w14:paraId="24618161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Consumer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price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index</w:t>
            </w:r>
            <w:r>
              <w:rPr>
                <w:rFonts w:ascii="Arial" w:hAnsi="Arial" w:cs="Arial"/>
                <w:sz w:val="20"/>
              </w:rPr>
              <w:t xml:space="preserve"> (indeks potrošačkih cijena)</w:t>
            </w:r>
          </w:p>
        </w:tc>
      </w:tr>
      <w:tr w:rsidR="00CF152E" w14:paraId="3A99122F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4C69C003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</w:t>
            </w:r>
          </w:p>
        </w:tc>
        <w:tc>
          <w:tcPr>
            <w:tcW w:w="6776" w:type="dxa"/>
            <w:tcMar>
              <w:bottom w:w="57" w:type="dxa"/>
            </w:tcMar>
          </w:tcPr>
          <w:p w14:paraId="0FF81061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Dokument okvirnog proračuna</w:t>
            </w:r>
          </w:p>
        </w:tc>
      </w:tr>
      <w:tr w:rsidR="00CF152E" w14:paraId="0CB151FB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1D5B70B7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DSU</w:t>
            </w:r>
          </w:p>
        </w:tc>
        <w:tc>
          <w:tcPr>
            <w:tcW w:w="6776" w:type="dxa"/>
            <w:tcMar>
              <w:bottom w:w="57" w:type="dxa"/>
            </w:tcMar>
          </w:tcPr>
          <w:p w14:paraId="57FFD593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Direktna strana ulaganja</w:t>
            </w:r>
          </w:p>
        </w:tc>
      </w:tr>
      <w:tr w:rsidR="00CF152E" w14:paraId="4717C164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09A2BB0A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EBRD</w:t>
            </w:r>
          </w:p>
        </w:tc>
        <w:tc>
          <w:tcPr>
            <w:tcW w:w="6776" w:type="dxa"/>
            <w:tcMar>
              <w:bottom w:w="57" w:type="dxa"/>
            </w:tcMar>
          </w:tcPr>
          <w:p w14:paraId="42EE329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European Bank for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Reconstruction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Development </w:t>
            </w:r>
            <w:r>
              <w:rPr>
                <w:rFonts w:ascii="Arial" w:hAnsi="Arial" w:cs="Arial"/>
                <w:sz w:val="20"/>
              </w:rPr>
              <w:t>(Europska banka za obnovu i razvoj)</w:t>
            </w:r>
          </w:p>
        </w:tc>
      </w:tr>
      <w:tr w:rsidR="00CF152E" w14:paraId="383080BD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756300CD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EIB</w:t>
            </w:r>
          </w:p>
        </w:tc>
        <w:tc>
          <w:tcPr>
            <w:tcW w:w="6776" w:type="dxa"/>
            <w:tcMar>
              <w:bottom w:w="57" w:type="dxa"/>
            </w:tcMar>
          </w:tcPr>
          <w:p w14:paraId="7222B2C1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European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Investment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Bank </w:t>
            </w:r>
            <w:r>
              <w:rPr>
                <w:rFonts w:ascii="Arial" w:hAnsi="Arial" w:cs="Arial"/>
                <w:sz w:val="20"/>
              </w:rPr>
              <w:t>(Europska investicijska banka)</w:t>
            </w:r>
          </w:p>
        </w:tc>
      </w:tr>
      <w:tr w:rsidR="00CF152E" w14:paraId="4DBEA2AD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37C7986B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EMSAC</w:t>
            </w:r>
          </w:p>
        </w:tc>
        <w:tc>
          <w:tcPr>
            <w:tcW w:w="6776" w:type="dxa"/>
            <w:tcMar>
              <w:bottom w:w="57" w:type="dxa"/>
            </w:tcMar>
          </w:tcPr>
          <w:p w14:paraId="7F2F1ED4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Economic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Management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Structural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Adjustment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Credit </w:t>
            </w:r>
            <w:r>
              <w:rPr>
                <w:rFonts w:ascii="Arial" w:hAnsi="Arial" w:cs="Arial"/>
                <w:color w:val="000000"/>
                <w:sz w:val="20"/>
              </w:rPr>
              <w:t>(Kredit za strukturalnu prilagodbu ekonomskog upravljanja)</w:t>
            </w:r>
          </w:p>
        </w:tc>
      </w:tr>
      <w:tr w:rsidR="00CF152E" w14:paraId="061D0679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573A3D6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</w:t>
            </w:r>
          </w:p>
        </w:tc>
        <w:tc>
          <w:tcPr>
            <w:tcW w:w="6776" w:type="dxa"/>
            <w:tcMar>
              <w:bottom w:w="57" w:type="dxa"/>
            </w:tcMar>
          </w:tcPr>
          <w:p w14:paraId="60610C2D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Directorate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Economic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Planning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(Direkcija za ekonomsko planiranje)</w:t>
            </w:r>
          </w:p>
        </w:tc>
      </w:tr>
      <w:tr w:rsidR="00CF152E" w14:paraId="3BCFF203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28E078E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</w:t>
            </w:r>
          </w:p>
        </w:tc>
        <w:tc>
          <w:tcPr>
            <w:tcW w:w="6776" w:type="dxa"/>
            <w:tcMar>
              <w:bottom w:w="57" w:type="dxa"/>
            </w:tcMar>
          </w:tcPr>
          <w:p w14:paraId="3DC4A3E2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Europska unija</w:t>
            </w:r>
          </w:p>
        </w:tc>
      </w:tr>
      <w:tr w:rsidR="00CF152E" w14:paraId="37C5069F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33843FEC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EUROFIMA</w:t>
            </w:r>
          </w:p>
        </w:tc>
        <w:tc>
          <w:tcPr>
            <w:tcW w:w="6776" w:type="dxa"/>
            <w:tcMar>
              <w:bottom w:w="57" w:type="dxa"/>
            </w:tcMar>
          </w:tcPr>
          <w:p w14:paraId="73950A9C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 xml:space="preserve">European Company for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the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Financing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Railroad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Rolling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Stock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(Europska kompanija za financiranje željezničkog voznog parka)</w:t>
            </w:r>
          </w:p>
        </w:tc>
      </w:tr>
      <w:tr w:rsidR="00CF152E" w14:paraId="49135E01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1C9BD6A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FBiH (ili Federacija)</w:t>
            </w:r>
          </w:p>
        </w:tc>
        <w:tc>
          <w:tcPr>
            <w:tcW w:w="6776" w:type="dxa"/>
            <w:tcMar>
              <w:bottom w:w="57" w:type="dxa"/>
            </w:tcMar>
          </w:tcPr>
          <w:p w14:paraId="2186BD2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Federacija Bosne i Hercegovine</w:t>
            </w:r>
          </w:p>
        </w:tc>
      </w:tr>
      <w:tr w:rsidR="00CF152E" w14:paraId="013A1AC1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070A283B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IBRD</w:t>
            </w:r>
          </w:p>
        </w:tc>
        <w:tc>
          <w:tcPr>
            <w:tcW w:w="6776" w:type="dxa"/>
            <w:tcMar>
              <w:bottom w:w="57" w:type="dxa"/>
            </w:tcMar>
          </w:tcPr>
          <w:p w14:paraId="2BB60712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International Bank for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Reconstruction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and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Development </w:t>
            </w:r>
            <w:r>
              <w:rPr>
                <w:rFonts w:ascii="Arial" w:hAnsi="Arial" w:cs="Arial"/>
                <w:sz w:val="20"/>
              </w:rPr>
              <w:t>(Međunarodna banka za obnovu i razvoj)</w:t>
            </w:r>
          </w:p>
        </w:tc>
      </w:tr>
      <w:tr w:rsidR="00CF152E" w14:paraId="23F09D1F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D21101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</w:t>
            </w:r>
          </w:p>
        </w:tc>
        <w:tc>
          <w:tcPr>
            <w:tcW w:w="6776" w:type="dxa"/>
            <w:tcMar>
              <w:bottom w:w="57" w:type="dxa"/>
            </w:tcMar>
          </w:tcPr>
          <w:p w14:paraId="6873221D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Konvertibilna marka</w:t>
            </w:r>
          </w:p>
        </w:tc>
      </w:tr>
      <w:tr w:rsidR="00CF152E" w14:paraId="02EE33BE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60C883AE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LCI</w:t>
            </w:r>
          </w:p>
        </w:tc>
        <w:tc>
          <w:tcPr>
            <w:tcW w:w="6776" w:type="dxa"/>
            <w:tcMar>
              <w:bottom w:w="57" w:type="dxa"/>
            </w:tcMar>
          </w:tcPr>
          <w:p w14:paraId="077086C0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Living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cost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index</w:t>
            </w:r>
            <w:r>
              <w:rPr>
                <w:rFonts w:ascii="Arial" w:hAnsi="Arial" w:cs="Arial"/>
                <w:sz w:val="20"/>
              </w:rPr>
              <w:t xml:space="preserve"> (indeks troškova života)</w:t>
            </w:r>
          </w:p>
        </w:tc>
      </w:tr>
      <w:tr w:rsidR="00CF152E" w14:paraId="270FB897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0743B826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Mil</w:t>
            </w:r>
            <w:proofErr w:type="spellEnd"/>
          </w:p>
        </w:tc>
        <w:tc>
          <w:tcPr>
            <w:tcW w:w="6776" w:type="dxa"/>
            <w:tcMar>
              <w:bottom w:w="57" w:type="dxa"/>
            </w:tcMar>
          </w:tcPr>
          <w:p w14:paraId="4BFC3F2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Milijun</w:t>
            </w:r>
          </w:p>
        </w:tc>
      </w:tr>
      <w:tr w:rsidR="00CF152E" w14:paraId="535F9338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12945F5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MMF</w:t>
            </w:r>
          </w:p>
        </w:tc>
        <w:tc>
          <w:tcPr>
            <w:tcW w:w="6776" w:type="dxa"/>
            <w:tcMar>
              <w:bottom w:w="57" w:type="dxa"/>
            </w:tcMar>
          </w:tcPr>
          <w:p w14:paraId="476D9E52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Međunarodni monetarni fond</w:t>
            </w:r>
          </w:p>
        </w:tc>
      </w:tr>
      <w:tr w:rsidR="00CF152E" w14:paraId="3C6BCDB3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149FA69C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PDV</w:t>
            </w:r>
          </w:p>
        </w:tc>
        <w:tc>
          <w:tcPr>
            <w:tcW w:w="6776" w:type="dxa"/>
            <w:tcMar>
              <w:bottom w:w="57" w:type="dxa"/>
            </w:tcMar>
          </w:tcPr>
          <w:p w14:paraId="4BC76B4A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Porez na dodanu vrijednost</w:t>
            </w:r>
          </w:p>
        </w:tc>
      </w:tr>
      <w:tr w:rsidR="00CF152E" w14:paraId="46FF5CBD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0EBF2160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PIP</w:t>
            </w:r>
          </w:p>
        </w:tc>
        <w:tc>
          <w:tcPr>
            <w:tcW w:w="6776" w:type="dxa"/>
            <w:tcMar>
              <w:bottom w:w="57" w:type="dxa"/>
            </w:tcMar>
          </w:tcPr>
          <w:p w14:paraId="55700F14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Public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investment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programme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(Program javnih investicija)</w:t>
            </w:r>
          </w:p>
        </w:tc>
      </w:tr>
      <w:tr w:rsidR="00CF152E" w14:paraId="070D5D25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4D959CC5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RPI</w:t>
            </w:r>
          </w:p>
        </w:tc>
        <w:tc>
          <w:tcPr>
            <w:tcW w:w="6776" w:type="dxa"/>
            <w:tcMar>
              <w:bottom w:w="57" w:type="dxa"/>
            </w:tcMar>
          </w:tcPr>
          <w:p w14:paraId="7FAC10CC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Retail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price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index</w:t>
            </w:r>
            <w:r>
              <w:rPr>
                <w:rFonts w:ascii="Arial" w:hAnsi="Arial" w:cs="Arial"/>
                <w:sz w:val="20"/>
              </w:rPr>
              <w:t xml:space="preserve"> (indeks cijena na malo)</w:t>
            </w:r>
          </w:p>
        </w:tc>
      </w:tr>
      <w:tr w:rsidR="00CF152E" w14:paraId="2F29DCF4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26BB11CF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</w:t>
            </w:r>
          </w:p>
        </w:tc>
        <w:tc>
          <w:tcPr>
            <w:tcW w:w="6776" w:type="dxa"/>
            <w:tcMar>
              <w:bottom w:w="57" w:type="dxa"/>
            </w:tcMar>
          </w:tcPr>
          <w:p w14:paraId="71A702F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Republika Srpska</w:t>
            </w:r>
          </w:p>
        </w:tc>
      </w:tr>
      <w:tr w:rsidR="00CF152E" w14:paraId="620DC71A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740E5607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</w:t>
            </w:r>
          </w:p>
        </w:tc>
        <w:tc>
          <w:tcPr>
            <w:tcW w:w="6776" w:type="dxa"/>
            <w:tcMar>
              <w:bottom w:w="57" w:type="dxa"/>
            </w:tcMar>
          </w:tcPr>
          <w:p w14:paraId="65073F21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Srednjoročni okvir rashoda</w:t>
            </w:r>
          </w:p>
        </w:tc>
      </w:tr>
      <w:tr w:rsidR="00CF152E" w14:paraId="2658C770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459C22C9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SOSAC</w:t>
            </w:r>
          </w:p>
        </w:tc>
        <w:tc>
          <w:tcPr>
            <w:tcW w:w="6776" w:type="dxa"/>
            <w:tcMar>
              <w:bottom w:w="57" w:type="dxa"/>
            </w:tcMar>
          </w:tcPr>
          <w:p w14:paraId="11EF59E8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Social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Sector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Adjustment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Credit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(Kredit za strukturalnu prilagodbu socijalnog sektora)</w:t>
            </w:r>
          </w:p>
        </w:tc>
      </w:tr>
      <w:tr w:rsidR="00CF152E" w14:paraId="679C8CFE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36E7E955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SRS</w:t>
            </w:r>
          </w:p>
        </w:tc>
        <w:tc>
          <w:tcPr>
            <w:tcW w:w="6776" w:type="dxa"/>
            <w:tcMar>
              <w:bottom w:w="57" w:type="dxa"/>
            </w:tcMar>
          </w:tcPr>
          <w:p w14:paraId="79EF2CF4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Srednjoročna razvojna strategija</w:t>
            </w:r>
          </w:p>
        </w:tc>
      </w:tr>
      <w:tr w:rsidR="00CF152E" w14:paraId="552BC61D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7BD9CBF4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</w:t>
            </w:r>
          </w:p>
        </w:tc>
        <w:tc>
          <w:tcPr>
            <w:tcW w:w="6776" w:type="dxa"/>
            <w:tcMar>
              <w:bottom w:w="57" w:type="dxa"/>
            </w:tcMar>
          </w:tcPr>
          <w:p w14:paraId="6D724E1E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Ujedinjeni narodi</w:t>
            </w:r>
          </w:p>
        </w:tc>
      </w:tr>
      <w:tr w:rsidR="00CF152E" w14:paraId="759A7671" w14:textId="77777777" w:rsidTr="00CF152E">
        <w:trPr>
          <w:trHeight w:val="284"/>
        </w:trPr>
        <w:tc>
          <w:tcPr>
            <w:tcW w:w="2335" w:type="dxa"/>
            <w:tcMar>
              <w:bottom w:w="57" w:type="dxa"/>
            </w:tcMar>
          </w:tcPr>
          <w:p w14:paraId="0B5C3210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USD</w:t>
            </w:r>
          </w:p>
        </w:tc>
        <w:tc>
          <w:tcPr>
            <w:tcW w:w="6776" w:type="dxa"/>
            <w:tcMar>
              <w:bottom w:w="57" w:type="dxa"/>
            </w:tcMar>
          </w:tcPr>
          <w:p w14:paraId="6AF93606" w14:textId="77777777" w:rsidR="00CF152E" w:rsidRDefault="00CF152E" w:rsidP="00CF15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Američki dolari</w:t>
            </w:r>
          </w:p>
        </w:tc>
      </w:tr>
    </w:tbl>
    <w:p w14:paraId="41BECD67" w14:textId="77777777" w:rsidR="00CF152E" w:rsidRDefault="00CF152E" w:rsidP="00CF152E"/>
    <w:p w14:paraId="4FDAC81A" w14:textId="77777777" w:rsidR="00CF152E" w:rsidRDefault="00CF152E">
      <w:pPr>
        <w:spacing w:after="200" w:line="276" w:lineRule="auto"/>
      </w:pPr>
      <w:r>
        <w:br w:type="page"/>
      </w:r>
    </w:p>
    <w:p w14:paraId="173B6590" w14:textId="59ED84B1" w:rsidR="00CF152E" w:rsidRPr="0040767F" w:rsidRDefault="00CF152E" w:rsidP="0040767F">
      <w:pPr>
        <w:pStyle w:val="Naslov1"/>
      </w:pPr>
      <w:bookmarkStart w:id="4" w:name="_Toc232407819"/>
      <w:r w:rsidRPr="0040767F">
        <w:lastRenderedPageBreak/>
        <w:t>Poglavlje 1: Uvod u Dokument okvirnog proračuna za razdoblje</w:t>
      </w:r>
      <w:r w:rsidR="00E023EE">
        <w:t xml:space="preserve"> 202</w:t>
      </w:r>
      <w:r w:rsidR="002E5BB7">
        <w:t>7</w:t>
      </w:r>
      <w:r w:rsidR="00E023EE">
        <w:t>.-202</w:t>
      </w:r>
      <w:r w:rsidR="002E5BB7">
        <w:t>9</w:t>
      </w:r>
      <w:r w:rsidRPr="0040767F">
        <w:t>.</w:t>
      </w:r>
      <w:r w:rsidR="00F54A47" w:rsidRPr="0040767F">
        <w:t xml:space="preserve"> </w:t>
      </w:r>
      <w:r w:rsidRPr="0040767F">
        <w:t>godine</w:t>
      </w:r>
      <w:bookmarkEnd w:id="4"/>
    </w:p>
    <w:p w14:paraId="5CB4102A" w14:textId="77777777" w:rsidR="00CF152E" w:rsidRDefault="00CF152E" w:rsidP="00CF152E">
      <w:pPr>
        <w:pStyle w:val="Naslov2"/>
      </w:pPr>
    </w:p>
    <w:p w14:paraId="02DD06B6" w14:textId="77777777" w:rsidR="00CF152E" w:rsidRPr="0040767F" w:rsidRDefault="00CF152E" w:rsidP="0040767F">
      <w:pPr>
        <w:pStyle w:val="Naslov2"/>
      </w:pPr>
      <w:bookmarkStart w:id="5" w:name="_Toc106015330"/>
      <w:bookmarkStart w:id="6" w:name="_Toc232407820"/>
      <w:r w:rsidRPr="0040767F">
        <w:t>1.1. Uvod</w:t>
      </w:r>
      <w:bookmarkEnd w:id="5"/>
      <w:bookmarkEnd w:id="6"/>
    </w:p>
    <w:p w14:paraId="7457135C" w14:textId="77777777" w:rsidR="00CF152E" w:rsidRPr="00891B16" w:rsidRDefault="00CF152E" w:rsidP="00CF152E"/>
    <w:p w14:paraId="4B8EA6CF" w14:textId="1C8B3BDD" w:rsidR="00CF152E" w:rsidRPr="00A315B4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bookmarkStart w:id="7" w:name="_Toc191048964"/>
      <w:bookmarkStart w:id="8" w:name="_Toc191357854"/>
      <w:bookmarkStart w:id="9" w:name="_Toc191614384"/>
      <w:bookmarkStart w:id="10" w:name="_Toc197340766"/>
      <w:r w:rsidRPr="00A315B4">
        <w:rPr>
          <w:sz w:val="24"/>
          <w:szCs w:val="24"/>
          <w:lang w:val="hr-BA"/>
        </w:rPr>
        <w:t>Trogodišnje planiranje proračuna je zakonska obveza svih razina vlasti u Federaciji BiH i provodi se putem Dokumenta okvirnog proračuna. Zakonom o proračunima je propisana izrada, sadržaj i rok za donošenje, te dokumenti koji služe kao osnova za izradu DOP-a. S obzirom da se temelji na prioritetima i politikama Vlade, Dokument okvirnog proračuna predstavlja prel</w:t>
      </w:r>
      <w:r w:rsidR="00E023EE" w:rsidRPr="00A315B4">
        <w:rPr>
          <w:sz w:val="24"/>
          <w:szCs w:val="24"/>
          <w:lang w:val="hr-BA"/>
        </w:rPr>
        <w:t>iminarni nacrt proračuna za 202</w:t>
      </w:r>
      <w:r w:rsidR="002E5BB7">
        <w:rPr>
          <w:sz w:val="24"/>
          <w:szCs w:val="24"/>
          <w:lang w:val="hr-BA"/>
        </w:rPr>
        <w:t>7</w:t>
      </w:r>
      <w:r w:rsidRPr="00A315B4">
        <w:rPr>
          <w:sz w:val="24"/>
          <w:szCs w:val="24"/>
          <w:lang w:val="hr-BA"/>
        </w:rPr>
        <w:t>. godinu, kao i prelimina</w:t>
      </w:r>
      <w:r w:rsidR="00E023EE" w:rsidRPr="00A315B4">
        <w:rPr>
          <w:sz w:val="24"/>
          <w:szCs w:val="24"/>
          <w:lang w:val="hr-BA"/>
        </w:rPr>
        <w:t>rne projekcije proračuna za 202</w:t>
      </w:r>
      <w:r w:rsidR="002E5BB7">
        <w:rPr>
          <w:sz w:val="24"/>
          <w:szCs w:val="24"/>
          <w:lang w:val="hr-BA"/>
        </w:rPr>
        <w:t>8</w:t>
      </w:r>
      <w:r w:rsidR="00E023EE" w:rsidRPr="00A315B4">
        <w:rPr>
          <w:sz w:val="24"/>
          <w:szCs w:val="24"/>
          <w:lang w:val="hr-BA"/>
        </w:rPr>
        <w:t>. i 202</w:t>
      </w:r>
      <w:r w:rsidR="002E5BB7">
        <w:rPr>
          <w:sz w:val="24"/>
          <w:szCs w:val="24"/>
          <w:lang w:val="hr-BA"/>
        </w:rPr>
        <w:t>9</w:t>
      </w:r>
      <w:r w:rsidRPr="00A315B4">
        <w:rPr>
          <w:sz w:val="24"/>
          <w:szCs w:val="24"/>
          <w:lang w:val="hr-BA"/>
        </w:rPr>
        <w:t>. godinu.</w:t>
      </w:r>
    </w:p>
    <w:p w14:paraId="3AA243D1" w14:textId="0082396C" w:rsidR="00CF152E" w:rsidRPr="00A315B4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>Dokument okvi</w:t>
      </w:r>
      <w:r w:rsidR="00E023EE" w:rsidRPr="00A315B4">
        <w:rPr>
          <w:sz w:val="24"/>
          <w:szCs w:val="24"/>
          <w:lang w:val="hr-BA"/>
        </w:rPr>
        <w:t>rnog proračuna za razdoblje 202</w:t>
      </w:r>
      <w:r w:rsidR="002E5BB7">
        <w:rPr>
          <w:sz w:val="24"/>
          <w:szCs w:val="24"/>
          <w:lang w:val="hr-BA"/>
        </w:rPr>
        <w:t>7</w:t>
      </w:r>
      <w:r w:rsidR="00E023EE" w:rsidRPr="00A315B4">
        <w:rPr>
          <w:sz w:val="24"/>
          <w:szCs w:val="24"/>
          <w:lang w:val="hr-BA"/>
        </w:rPr>
        <w:t>.-202</w:t>
      </w:r>
      <w:r w:rsidR="002E5BB7">
        <w:rPr>
          <w:sz w:val="24"/>
          <w:szCs w:val="24"/>
          <w:lang w:val="hr-BA"/>
        </w:rPr>
        <w:t>9</w:t>
      </w:r>
      <w:r w:rsidRPr="00A315B4">
        <w:rPr>
          <w:sz w:val="24"/>
          <w:szCs w:val="24"/>
          <w:lang w:val="hr-BA"/>
        </w:rPr>
        <w:t>. godine je kompleksan i sveobuhvatan dokument srednjoročnog planiranja koji između ostalog sadrži makroekonomske projekcije i prognoze te gornje granice proračunskih sredstava i izdataka za naredne tri godine. Izrada DOP-a Hercegbosanske županije zasniva se na procjeni gospodarskog razvoja, razvoja socijalnog sektora, makroekonomskih pokazatelja i prognozi prihoda i rashoda.</w:t>
      </w:r>
    </w:p>
    <w:p w14:paraId="7E1082FC" w14:textId="27A78145" w:rsidR="00E023EE" w:rsidRPr="00A315B4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 xml:space="preserve">Ključni cilj DOP-a je postaviti makroekonomske, fiskalne i razvojne politike u središte procesa planiranja i izrade proračuna, imajući u vidu da je godišnji proračun jedan od osnovnih instrumenata kojima će se realizirati ekonomski i socijalni prioriteti Vlade Hercegbosanske županije, kao i to da osigura sveobuhvatan i konsolidirani okvir planiranja rashoda na razini županije, objedinjujući podatke o fiskalnom stanju županije, gradova, općina i zavoda. </w:t>
      </w:r>
      <w:r w:rsidR="00E023EE" w:rsidRPr="00A315B4">
        <w:rPr>
          <w:sz w:val="24"/>
          <w:szCs w:val="24"/>
          <w:lang w:val="hr-BA"/>
        </w:rPr>
        <w:t>Unatoč izazovima na međunarodnom nivou, kao što je slabljenje globalnog ekonomskog rasta, pojačanih inflatornih pritisaka i</w:t>
      </w:r>
      <w:r w:rsidR="001E1560">
        <w:rPr>
          <w:sz w:val="24"/>
          <w:szCs w:val="24"/>
          <w:lang w:val="hr-BA"/>
        </w:rPr>
        <w:t xml:space="preserve"> rasta kamatnih stopa, u 2023. g</w:t>
      </w:r>
      <w:r w:rsidR="00E023EE" w:rsidRPr="00A315B4">
        <w:rPr>
          <w:sz w:val="24"/>
          <w:szCs w:val="24"/>
          <w:lang w:val="hr-BA"/>
        </w:rPr>
        <w:t>odini ostvaren je ekonomski rast, koji prema projekcijama DEP-a na nivou Bosne i Hercegovine iznosi 1,8%. Nastavak složenih eksternih prilika imao bi veoma negativne posljedice na ekonomiju Bosne i Hercegovine i smanjio potencijalni rast.</w:t>
      </w:r>
      <w:r w:rsidR="000343BA" w:rsidRPr="00A315B4">
        <w:rPr>
          <w:sz w:val="24"/>
          <w:szCs w:val="24"/>
          <w:lang w:val="hr-BA"/>
        </w:rPr>
        <w:t xml:space="preserve"> Imajući u vidu sve navedene okolnosti, prema projekcijama DEP-a</w:t>
      </w:r>
      <w:r w:rsidR="001E1560">
        <w:rPr>
          <w:sz w:val="24"/>
          <w:szCs w:val="24"/>
          <w:lang w:val="hr-BA"/>
        </w:rPr>
        <w:t xml:space="preserve"> u osnovnom scenariju za 202</w:t>
      </w:r>
      <w:r w:rsidR="002E5BB7">
        <w:rPr>
          <w:sz w:val="24"/>
          <w:szCs w:val="24"/>
          <w:lang w:val="hr-BA"/>
        </w:rPr>
        <w:t>6</w:t>
      </w:r>
      <w:r w:rsidR="001E1560">
        <w:rPr>
          <w:sz w:val="24"/>
          <w:szCs w:val="24"/>
          <w:lang w:val="hr-BA"/>
        </w:rPr>
        <w:t>. g</w:t>
      </w:r>
      <w:r w:rsidR="000343BA" w:rsidRPr="00A315B4">
        <w:rPr>
          <w:sz w:val="24"/>
          <w:szCs w:val="24"/>
          <w:lang w:val="hr-BA"/>
        </w:rPr>
        <w:t>odinu i razdoblje 202</w:t>
      </w:r>
      <w:r w:rsidR="002E5BB7">
        <w:rPr>
          <w:sz w:val="24"/>
          <w:szCs w:val="24"/>
          <w:lang w:val="hr-BA"/>
        </w:rPr>
        <w:t>7</w:t>
      </w:r>
      <w:r w:rsidR="000343BA" w:rsidRPr="00A315B4">
        <w:rPr>
          <w:sz w:val="24"/>
          <w:szCs w:val="24"/>
          <w:lang w:val="hr-BA"/>
        </w:rPr>
        <w:t>.-202</w:t>
      </w:r>
      <w:r w:rsidR="002E5BB7">
        <w:rPr>
          <w:sz w:val="24"/>
          <w:szCs w:val="24"/>
          <w:lang w:val="hr-BA"/>
        </w:rPr>
        <w:t>9</w:t>
      </w:r>
      <w:r w:rsidR="000343BA" w:rsidRPr="00A315B4">
        <w:rPr>
          <w:sz w:val="24"/>
          <w:szCs w:val="24"/>
          <w:lang w:val="hr-BA"/>
        </w:rPr>
        <w:t>. godina u Bosni i Hercegovini se može očekivati ekonomski rast sa prosječnom stopom od oko 3% na godišnjem nivou. Ključni oslonac bi trebala predstavljati domaća potražnja kroz povećanje privatne potrošnje i investicija. Pretpostavka je da će u navedenom razdoblju doći i do stabilizacije rasta cijena.</w:t>
      </w:r>
    </w:p>
    <w:p w14:paraId="5A7E0A7C" w14:textId="77777777" w:rsidR="00CF152E" w:rsidRDefault="00CF152E" w:rsidP="000343BA">
      <w:pPr>
        <w:spacing w:after="240"/>
        <w:jc w:val="both"/>
        <w:rPr>
          <w:color w:val="FF0000"/>
          <w:sz w:val="24"/>
          <w:szCs w:val="24"/>
          <w:lang w:val="hr-BA"/>
        </w:rPr>
      </w:pPr>
    </w:p>
    <w:p w14:paraId="30652A83" w14:textId="77777777" w:rsidR="00CF152E" w:rsidRDefault="00CF152E" w:rsidP="00CF152E">
      <w:pPr>
        <w:pStyle w:val="Naslov2"/>
        <w:rPr>
          <w:lang w:val="hr-BA"/>
        </w:rPr>
      </w:pPr>
      <w:bookmarkStart w:id="11" w:name="_Toc106015331"/>
      <w:bookmarkStart w:id="12" w:name="_Toc232407821"/>
      <w:r>
        <w:rPr>
          <w:lang w:val="hr-BA"/>
        </w:rPr>
        <w:t xml:space="preserve">1.2. </w:t>
      </w:r>
      <w:r w:rsidRPr="00891B16">
        <w:rPr>
          <w:lang w:val="hr-BA"/>
        </w:rPr>
        <w:t>Informacije o Dokumentu i korištena metodologija</w:t>
      </w:r>
      <w:bookmarkEnd w:id="11"/>
      <w:bookmarkEnd w:id="12"/>
    </w:p>
    <w:p w14:paraId="341CB9E9" w14:textId="77777777" w:rsidR="00CF152E" w:rsidRPr="00891B16" w:rsidRDefault="00CF152E" w:rsidP="00CF152E">
      <w:pPr>
        <w:rPr>
          <w:lang w:val="hr-BA"/>
        </w:rPr>
      </w:pPr>
    </w:p>
    <w:p w14:paraId="4D14DCB6" w14:textId="2F680FDC" w:rsidR="00CF152E" w:rsidRPr="00A315B4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>Osnova za izradu DOP-a</w:t>
      </w:r>
      <w:r w:rsidR="00DB1744" w:rsidRPr="00A315B4">
        <w:rPr>
          <w:sz w:val="24"/>
          <w:szCs w:val="24"/>
          <w:lang w:val="hr-BA"/>
        </w:rPr>
        <w:t xml:space="preserve"> za razdoblje 202</w:t>
      </w:r>
      <w:r w:rsidR="00D96010">
        <w:rPr>
          <w:sz w:val="24"/>
          <w:szCs w:val="24"/>
          <w:lang w:val="hr-BA"/>
        </w:rPr>
        <w:t>7</w:t>
      </w:r>
      <w:r w:rsidR="00DB1744" w:rsidRPr="00A315B4">
        <w:rPr>
          <w:sz w:val="24"/>
          <w:szCs w:val="24"/>
          <w:lang w:val="hr-BA"/>
        </w:rPr>
        <w:t>.–202</w:t>
      </w:r>
      <w:r w:rsidR="00D96010">
        <w:rPr>
          <w:sz w:val="24"/>
          <w:szCs w:val="24"/>
          <w:lang w:val="hr-BA"/>
        </w:rPr>
        <w:t>9</w:t>
      </w:r>
      <w:r w:rsidR="00DD14BB" w:rsidRPr="00A315B4">
        <w:rPr>
          <w:sz w:val="24"/>
          <w:szCs w:val="24"/>
          <w:lang w:val="hr-BA"/>
        </w:rPr>
        <w:t>. godine</w:t>
      </w:r>
      <w:r w:rsidRPr="00A315B4">
        <w:rPr>
          <w:sz w:val="24"/>
          <w:szCs w:val="24"/>
          <w:lang w:val="hr-BA"/>
        </w:rPr>
        <w:t xml:space="preserve"> bile su Smjernice ekonomske i fiskalne politike Hercegbos</w:t>
      </w:r>
      <w:r w:rsidR="00DB1744" w:rsidRPr="00A315B4">
        <w:rPr>
          <w:sz w:val="24"/>
          <w:szCs w:val="24"/>
          <w:lang w:val="hr-BA"/>
        </w:rPr>
        <w:t>anske županije za razdoblje 202</w:t>
      </w:r>
      <w:r w:rsidR="00D96010">
        <w:rPr>
          <w:sz w:val="24"/>
          <w:szCs w:val="24"/>
          <w:lang w:val="hr-BA"/>
        </w:rPr>
        <w:t>7</w:t>
      </w:r>
      <w:r w:rsidR="00DB1744" w:rsidRPr="00A315B4">
        <w:rPr>
          <w:sz w:val="24"/>
          <w:szCs w:val="24"/>
          <w:lang w:val="hr-BA"/>
        </w:rPr>
        <w:t>.–202</w:t>
      </w:r>
      <w:r w:rsidR="00D96010">
        <w:rPr>
          <w:sz w:val="24"/>
          <w:szCs w:val="24"/>
          <w:lang w:val="hr-BA"/>
        </w:rPr>
        <w:t>9</w:t>
      </w:r>
      <w:r w:rsidRPr="00A315B4">
        <w:rPr>
          <w:sz w:val="24"/>
          <w:szCs w:val="24"/>
          <w:lang w:val="hr-BA"/>
        </w:rPr>
        <w:t>. godine, makroekonomske projekcije i pretpostavke za naredno srednjoročno razdoblje, kao i prioriteti Vlade Hercegbosanske županije i ciljevi fiskalne politike, a imajući u vidu financijski okvir raspoloživih sredstava.</w:t>
      </w:r>
    </w:p>
    <w:p w14:paraId="34640D62" w14:textId="4EDF6F5F" w:rsidR="00CF152E" w:rsidRPr="00A315B4" w:rsidRDefault="00CF152E" w:rsidP="00A315B4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>Dokument okvirnog proračuna Hercegbos</w:t>
      </w:r>
      <w:r w:rsidR="00295190" w:rsidRPr="00A315B4">
        <w:rPr>
          <w:sz w:val="24"/>
          <w:szCs w:val="24"/>
          <w:lang w:val="hr-BA"/>
        </w:rPr>
        <w:t>anske županije za</w:t>
      </w:r>
      <w:r w:rsidR="00DB1744" w:rsidRPr="00A315B4">
        <w:rPr>
          <w:sz w:val="24"/>
          <w:szCs w:val="24"/>
          <w:lang w:val="hr-BA"/>
        </w:rPr>
        <w:t xml:space="preserve"> razdoblje 202</w:t>
      </w:r>
      <w:r w:rsidR="00D96010">
        <w:rPr>
          <w:sz w:val="24"/>
          <w:szCs w:val="24"/>
          <w:lang w:val="hr-BA"/>
        </w:rPr>
        <w:t>7</w:t>
      </w:r>
      <w:r w:rsidR="00DB1744" w:rsidRPr="00A315B4">
        <w:rPr>
          <w:sz w:val="24"/>
          <w:szCs w:val="24"/>
          <w:lang w:val="hr-BA"/>
        </w:rPr>
        <w:t>. – 202</w:t>
      </w:r>
      <w:r w:rsidR="00D96010">
        <w:rPr>
          <w:sz w:val="24"/>
          <w:szCs w:val="24"/>
          <w:lang w:val="hr-BA"/>
        </w:rPr>
        <w:t>9</w:t>
      </w:r>
      <w:r w:rsidRPr="00A315B4">
        <w:rPr>
          <w:sz w:val="24"/>
          <w:szCs w:val="24"/>
          <w:lang w:val="hr-BA"/>
        </w:rPr>
        <w:t xml:space="preserve">. godina sadrži šest poglavlja koja uključuju srednjoročne makroekonomske prognoze, prognoze izravnih i neizravnih prihoda, ukupan fiskalni okvir i financiranje, projekcije tekućih rashoda, kapitalne investicije i projekte, ukupni dug županije te prioritete koji će biti financirani iz proračunskih sredstava u narednom razdoblju te gornje granice rashoda proračunskih korisnika </w:t>
      </w:r>
      <w:r w:rsidRPr="00A315B4">
        <w:rPr>
          <w:sz w:val="24"/>
          <w:szCs w:val="24"/>
          <w:lang w:val="hr-BA"/>
        </w:rPr>
        <w:lastRenderedPageBreak/>
        <w:t>u narednom trogodišnjem razdoblju, na kojima se temelji priprema i izrada proračuna.</w:t>
      </w:r>
      <w:r w:rsidR="00A315B4">
        <w:rPr>
          <w:sz w:val="24"/>
          <w:szCs w:val="24"/>
          <w:lang w:val="hr-BA"/>
        </w:rPr>
        <w:t xml:space="preserve"> </w:t>
      </w:r>
      <w:r w:rsidRPr="00A315B4">
        <w:rPr>
          <w:sz w:val="24"/>
          <w:szCs w:val="24"/>
          <w:lang w:val="hr-BA"/>
        </w:rPr>
        <w:t>Srednjoročne makroekonomske pretpostavke i prognoze su bazirane na prognozama Direkci</w:t>
      </w:r>
      <w:r w:rsidR="00F54A47" w:rsidRPr="00A315B4">
        <w:rPr>
          <w:sz w:val="24"/>
          <w:szCs w:val="24"/>
          <w:lang w:val="hr-BA"/>
        </w:rPr>
        <w:t>je za ekonomsko planiranje pri i</w:t>
      </w:r>
      <w:r w:rsidRPr="00A315B4">
        <w:rPr>
          <w:sz w:val="24"/>
          <w:szCs w:val="24"/>
          <w:lang w:val="hr-BA"/>
        </w:rPr>
        <w:t>nstitucijama BiH. Srednjoročne projekcije prihoda od neizravnih poreza urađene su od strane Odjeljenja za makroekonomsku analizu pri Upravnom odboru Uprave za neizravno oporezivanje BiH (OMA). Srednjoročne projekcije prihoda izravnih poreza i neizravnih prihoda su u nadležnosti Federalnog ministarstva financija.</w:t>
      </w:r>
    </w:p>
    <w:p w14:paraId="7D622537" w14:textId="77777777" w:rsidR="00CF152E" w:rsidRPr="00A315B4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 xml:space="preserve">Prioriteti Vlade Hercegbosanske županije će biti usmjereni na projekte intenziviranja gospodarskog razvoja, očuvanje fiskalne stabilnosti, jačanja unutarnje društvene stabilnosti te u suradnji sa višim razinama vlasti raditi na provedbi potrebnih reformi, te strategiji upravljanja javnim financijama. Cilj strategije je da osigura sveobuhvatan i integrirani okvir za planiranje, koordinaciju, provođenje i praćenje napretka u provođenju aktivnosti upravljanja javnim financijama kako bi se unaprijedila makroekonomska stabilnost, osiguralo efikasno i svrsishodno raspoređivanje i korištenje javnih resursa i time lakše realizirali definirani ciljevi vlade. </w:t>
      </w:r>
    </w:p>
    <w:p w14:paraId="393AAD29" w14:textId="00BEA6B1" w:rsidR="00CF152E" w:rsidRPr="00D96010" w:rsidRDefault="00CF152E" w:rsidP="00CF152E">
      <w:pPr>
        <w:spacing w:after="240"/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 xml:space="preserve">Iako </w:t>
      </w:r>
      <w:r w:rsidR="006859DB" w:rsidRPr="00A315B4">
        <w:rPr>
          <w:sz w:val="24"/>
          <w:szCs w:val="24"/>
          <w:lang w:val="hr-BA"/>
        </w:rPr>
        <w:t xml:space="preserve"> uzimajući u obzir da se cjelokupna negativna d</w:t>
      </w:r>
      <w:r w:rsidR="00D96010">
        <w:rPr>
          <w:sz w:val="24"/>
          <w:szCs w:val="24"/>
          <w:lang w:val="hr-BA"/>
        </w:rPr>
        <w:t>ogađanja</w:t>
      </w:r>
      <w:r w:rsidR="006859DB" w:rsidRPr="00A315B4">
        <w:rPr>
          <w:sz w:val="24"/>
          <w:szCs w:val="24"/>
          <w:lang w:val="hr-BA"/>
        </w:rPr>
        <w:t xml:space="preserve"> još uvijek traju i nose </w:t>
      </w:r>
      <w:r w:rsidR="00DB1744" w:rsidRPr="00A315B4">
        <w:rPr>
          <w:sz w:val="24"/>
          <w:szCs w:val="24"/>
          <w:lang w:val="hr-BA"/>
        </w:rPr>
        <w:t>visok nivo neizvjesnosti, u 202</w:t>
      </w:r>
      <w:r w:rsidR="00CD736B">
        <w:rPr>
          <w:sz w:val="24"/>
          <w:szCs w:val="24"/>
          <w:lang w:val="hr-BA"/>
        </w:rPr>
        <w:t>5</w:t>
      </w:r>
      <w:r w:rsidR="006859DB" w:rsidRPr="00A315B4">
        <w:rPr>
          <w:sz w:val="24"/>
          <w:szCs w:val="24"/>
          <w:lang w:val="hr-BA"/>
        </w:rPr>
        <w:t xml:space="preserve">. </w:t>
      </w:r>
      <w:r w:rsidR="006859DB" w:rsidRPr="00D96010">
        <w:rPr>
          <w:sz w:val="24"/>
          <w:szCs w:val="24"/>
          <w:lang w:val="hr-BA"/>
        </w:rPr>
        <w:t>godini pretpostavlja se skroman ekonomski rast</w:t>
      </w:r>
      <w:r w:rsidR="00BC241A" w:rsidRPr="00D96010">
        <w:rPr>
          <w:sz w:val="24"/>
          <w:szCs w:val="24"/>
          <w:lang w:val="hr-BA"/>
        </w:rPr>
        <w:t xml:space="preserve"> BDP-a od 2</w:t>
      </w:r>
      <w:r w:rsidR="00D96010" w:rsidRPr="00D96010">
        <w:rPr>
          <w:sz w:val="24"/>
          <w:szCs w:val="24"/>
          <w:lang w:val="hr-BA"/>
        </w:rPr>
        <w:t>,4</w:t>
      </w:r>
      <w:r w:rsidR="00BC241A" w:rsidRPr="00D96010">
        <w:rPr>
          <w:sz w:val="24"/>
          <w:szCs w:val="24"/>
          <w:lang w:val="hr-BA"/>
        </w:rPr>
        <w:t>%, a u razdoblju 202</w:t>
      </w:r>
      <w:r w:rsidR="00D96010" w:rsidRPr="00D96010">
        <w:rPr>
          <w:sz w:val="24"/>
          <w:szCs w:val="24"/>
          <w:lang w:val="hr-BA"/>
        </w:rPr>
        <w:t>7</w:t>
      </w:r>
      <w:r w:rsidR="00BC241A" w:rsidRPr="00D96010">
        <w:rPr>
          <w:sz w:val="24"/>
          <w:szCs w:val="24"/>
          <w:lang w:val="hr-BA"/>
        </w:rPr>
        <w:t>.-202</w:t>
      </w:r>
      <w:r w:rsidR="00D96010" w:rsidRPr="00D96010">
        <w:rPr>
          <w:sz w:val="24"/>
          <w:szCs w:val="24"/>
          <w:lang w:val="hr-BA"/>
        </w:rPr>
        <w:t>9</w:t>
      </w:r>
      <w:r w:rsidR="006859DB" w:rsidRPr="00D96010">
        <w:rPr>
          <w:sz w:val="24"/>
          <w:szCs w:val="24"/>
          <w:lang w:val="hr-BA"/>
        </w:rPr>
        <w:t>. godine</w:t>
      </w:r>
      <w:r w:rsidR="00D96010">
        <w:rPr>
          <w:sz w:val="24"/>
          <w:szCs w:val="24"/>
          <w:lang w:val="hr-BA"/>
        </w:rPr>
        <w:t xml:space="preserve"> predviđa se da će Bosna i Hercegovina zabilježiti najnižu stopu rasta  </w:t>
      </w:r>
      <w:proofErr w:type="spellStart"/>
      <w:r w:rsidR="00D96010">
        <w:rPr>
          <w:sz w:val="24"/>
          <w:szCs w:val="24"/>
          <w:lang w:val="hr-BA"/>
        </w:rPr>
        <w:t>rasta</w:t>
      </w:r>
      <w:proofErr w:type="spellEnd"/>
      <w:r w:rsidR="00D96010">
        <w:rPr>
          <w:sz w:val="24"/>
          <w:szCs w:val="24"/>
          <w:lang w:val="hr-BA"/>
        </w:rPr>
        <w:t xml:space="preserve"> u regiji od 2,5%.</w:t>
      </w:r>
    </w:p>
    <w:p w14:paraId="1B11D33E" w14:textId="4EF0D369" w:rsidR="00CF152E" w:rsidRDefault="00CF152E" w:rsidP="00A315B4">
      <w:pPr>
        <w:spacing w:after="240"/>
        <w:ind w:firstLine="708"/>
        <w:jc w:val="both"/>
        <w:rPr>
          <w:color w:val="FF0000"/>
          <w:sz w:val="24"/>
          <w:szCs w:val="24"/>
          <w:lang w:val="hr-BA"/>
        </w:rPr>
      </w:pPr>
      <w:r w:rsidRPr="00A315B4">
        <w:rPr>
          <w:sz w:val="24"/>
          <w:szCs w:val="24"/>
          <w:lang w:val="hr-BA"/>
        </w:rPr>
        <w:t>Stoga, u skladu sa Zakonom o proračunima u Federaciji Bosne i Hercegovine, pripremljen je DOP Hercegbosanske županije</w:t>
      </w:r>
      <w:r w:rsidR="00BC241A" w:rsidRPr="00A315B4">
        <w:rPr>
          <w:sz w:val="24"/>
          <w:szCs w:val="24"/>
          <w:lang w:val="hr-BA"/>
        </w:rPr>
        <w:t xml:space="preserve"> za razdoblje 202</w:t>
      </w:r>
      <w:r w:rsidR="00D96010">
        <w:rPr>
          <w:sz w:val="24"/>
          <w:szCs w:val="24"/>
          <w:lang w:val="hr-BA"/>
        </w:rPr>
        <w:t>7</w:t>
      </w:r>
      <w:r w:rsidR="00BC241A" w:rsidRPr="00A315B4">
        <w:rPr>
          <w:sz w:val="24"/>
          <w:szCs w:val="24"/>
          <w:lang w:val="hr-BA"/>
        </w:rPr>
        <w:t>.-202</w:t>
      </w:r>
      <w:r w:rsidR="00D96010">
        <w:rPr>
          <w:sz w:val="24"/>
          <w:szCs w:val="24"/>
          <w:lang w:val="hr-BA"/>
        </w:rPr>
        <w:t>9</w:t>
      </w:r>
      <w:r w:rsidR="00DD14BB" w:rsidRPr="00A315B4">
        <w:rPr>
          <w:sz w:val="24"/>
          <w:szCs w:val="24"/>
          <w:lang w:val="hr-BA"/>
        </w:rPr>
        <w:t>. godine</w:t>
      </w:r>
      <w:r w:rsidRPr="00A315B4">
        <w:rPr>
          <w:sz w:val="24"/>
          <w:szCs w:val="24"/>
          <w:lang w:val="hr-BA"/>
        </w:rPr>
        <w:t xml:space="preserve">. Ključni cilj DOP-a je postaviti makroekonomske, fiskalne i sektorske politike u centar proračunskih procesa, prepoznajući da je godišnji proračun osnovni instrument kojim se realiziraju ciljevi srednjoročne razvojne strategije, kako županije, tako i viših razina vlasti. Također, ovim dokumentom, na temelju definiranih ekonomskih pokazatelja za šire ekonomsko okruženje (prvenstveno FBiH) definira se i fiskalni kapacitet Županije u narednom trogodišnjem razdoblju. </w:t>
      </w:r>
    </w:p>
    <w:p w14:paraId="15E1A0BB" w14:textId="77777777" w:rsidR="00A315B4" w:rsidRPr="00A315B4" w:rsidRDefault="00A315B4" w:rsidP="00A315B4">
      <w:pPr>
        <w:spacing w:after="240"/>
        <w:ind w:firstLine="708"/>
        <w:jc w:val="both"/>
        <w:rPr>
          <w:color w:val="FF0000"/>
          <w:sz w:val="24"/>
          <w:szCs w:val="24"/>
          <w:lang w:val="hr-BA"/>
        </w:rPr>
      </w:pPr>
    </w:p>
    <w:p w14:paraId="0BDFEA0C" w14:textId="77777777" w:rsidR="00CF152E" w:rsidRDefault="00CF152E" w:rsidP="00CF152E">
      <w:pPr>
        <w:pStyle w:val="Naslov2"/>
        <w:rPr>
          <w:lang w:val="hr-BA"/>
        </w:rPr>
      </w:pPr>
      <w:bookmarkStart w:id="13" w:name="_Toc106015332"/>
      <w:bookmarkStart w:id="14" w:name="_Toc232407822"/>
      <w:r>
        <w:rPr>
          <w:lang w:val="hr-BA"/>
        </w:rPr>
        <w:t>1.3. Struktura dokumenta</w:t>
      </w:r>
      <w:bookmarkEnd w:id="13"/>
      <w:bookmarkEnd w:id="14"/>
    </w:p>
    <w:p w14:paraId="2822861C" w14:textId="77777777" w:rsidR="00CF152E" w:rsidRDefault="00CF152E" w:rsidP="00CF152E">
      <w:pPr>
        <w:rPr>
          <w:lang w:val="hr-BA"/>
        </w:rPr>
      </w:pPr>
    </w:p>
    <w:p w14:paraId="4F7F990B" w14:textId="7F646A5E" w:rsidR="00CF152E" w:rsidRPr="00A315B4" w:rsidRDefault="00CF152E" w:rsidP="006859DB">
      <w:pPr>
        <w:jc w:val="both"/>
        <w:rPr>
          <w:sz w:val="24"/>
          <w:szCs w:val="24"/>
          <w:lang w:val="hr-BA"/>
        </w:rPr>
      </w:pPr>
      <w:r>
        <w:rPr>
          <w:lang w:val="hr-BA"/>
        </w:rPr>
        <w:tab/>
      </w:r>
      <w:r w:rsidRPr="00A315B4">
        <w:rPr>
          <w:sz w:val="24"/>
          <w:szCs w:val="24"/>
          <w:lang w:val="hr-BA"/>
        </w:rPr>
        <w:t>U prvom dijelu dokumenta se nalazi uvod u Dokument okvirnog proračuna, korištena metodologija te struktura samog dokumenta. Drugi dio dokumenta su makroekonomske projekcije i pokazatelji BiH i Federacije BiH. Treći dio županijskog Dokumenta okvirnog proračuna obrađuju se procjene prihoda i primitaka, te rashoda i izdataka za županijski Proračun. Četvrti dio je upravljanje potrošnjom javnog sektora županije dok je peti dio vezan za upravljanje dugom županije. U zadnjem šestom dijelu nalazi se projekcija prihoda i rashoda proračuna, općina i zavoda Hercegbosanske županije.</w:t>
      </w:r>
      <w:r w:rsidR="00754CCC" w:rsidRPr="00A315B4">
        <w:rPr>
          <w:sz w:val="24"/>
          <w:szCs w:val="24"/>
          <w:lang w:val="hr-BA"/>
        </w:rPr>
        <w:t xml:space="preserve"> </w:t>
      </w:r>
      <w:r w:rsidRPr="00A315B4">
        <w:rPr>
          <w:sz w:val="24"/>
          <w:szCs w:val="24"/>
          <w:lang w:val="hr-BA"/>
        </w:rPr>
        <w:t>U zadnjem dijelu DOP-a pravi se sinteza svih pokazatelja za županiju označeni kao PRIVITAK: Okvirna fiskalna tablica Hercegbosanske županij</w:t>
      </w:r>
      <w:r w:rsidR="00BC241A" w:rsidRPr="00A315B4">
        <w:rPr>
          <w:sz w:val="24"/>
          <w:szCs w:val="24"/>
          <w:lang w:val="hr-BA"/>
        </w:rPr>
        <w:t>e za period 202</w:t>
      </w:r>
      <w:r w:rsidR="00D96010">
        <w:rPr>
          <w:sz w:val="24"/>
          <w:szCs w:val="24"/>
          <w:lang w:val="hr-BA"/>
        </w:rPr>
        <w:t>7</w:t>
      </w:r>
      <w:r w:rsidR="00BC241A" w:rsidRPr="00A315B4">
        <w:rPr>
          <w:sz w:val="24"/>
          <w:szCs w:val="24"/>
          <w:lang w:val="hr-BA"/>
        </w:rPr>
        <w:t>. – 202</w:t>
      </w:r>
      <w:r w:rsidR="00D96010">
        <w:rPr>
          <w:sz w:val="24"/>
          <w:szCs w:val="24"/>
          <w:lang w:val="hr-BA"/>
        </w:rPr>
        <w:t>9</w:t>
      </w:r>
      <w:r w:rsidR="00DD14BB" w:rsidRPr="00A315B4">
        <w:rPr>
          <w:sz w:val="24"/>
          <w:szCs w:val="24"/>
          <w:lang w:val="hr-BA"/>
        </w:rPr>
        <w:t>. godine</w:t>
      </w:r>
      <w:r w:rsidRPr="00A315B4">
        <w:rPr>
          <w:sz w:val="24"/>
          <w:szCs w:val="24"/>
          <w:lang w:val="hr-BA"/>
        </w:rPr>
        <w:t xml:space="preserve"> -  uključeni su zajednički makro pokazatelji za Županiju, sve općine Županije, Županijskog zavoda za upošljavanje i Županijskog zavoda za zdravstveno osiguranje.</w:t>
      </w:r>
      <w:r w:rsidR="00754CCC" w:rsidRPr="00A315B4">
        <w:rPr>
          <w:sz w:val="24"/>
          <w:szCs w:val="24"/>
          <w:lang w:val="hr-BA"/>
        </w:rPr>
        <w:t xml:space="preserve"> </w:t>
      </w:r>
      <w:r w:rsidRPr="00A315B4">
        <w:rPr>
          <w:sz w:val="24"/>
          <w:szCs w:val="24"/>
          <w:lang w:val="hr-BA"/>
        </w:rPr>
        <w:t>Sami završetak dokumenta je Okvirni prijedlog razine (plafoni) financijskih planova proračunskih korisnika Hercegbosanske župa</w:t>
      </w:r>
      <w:r w:rsidR="00BC241A" w:rsidRPr="00A315B4">
        <w:rPr>
          <w:sz w:val="24"/>
          <w:szCs w:val="24"/>
          <w:lang w:val="hr-BA"/>
        </w:rPr>
        <w:t>nije za razdoblje 202</w:t>
      </w:r>
      <w:r w:rsidR="00D96010">
        <w:rPr>
          <w:sz w:val="24"/>
          <w:szCs w:val="24"/>
          <w:lang w:val="hr-BA"/>
        </w:rPr>
        <w:t>7</w:t>
      </w:r>
      <w:r w:rsidR="00BC241A" w:rsidRPr="00A315B4">
        <w:rPr>
          <w:sz w:val="24"/>
          <w:szCs w:val="24"/>
          <w:lang w:val="hr-BA"/>
        </w:rPr>
        <w:t>.- 202</w:t>
      </w:r>
      <w:r w:rsidR="00D96010">
        <w:rPr>
          <w:sz w:val="24"/>
          <w:szCs w:val="24"/>
          <w:lang w:val="hr-BA"/>
        </w:rPr>
        <w:t>9</w:t>
      </w:r>
      <w:r w:rsidR="00F54A47" w:rsidRPr="00A315B4">
        <w:rPr>
          <w:sz w:val="24"/>
          <w:szCs w:val="24"/>
          <w:lang w:val="hr-BA"/>
        </w:rPr>
        <w:t>. g</w:t>
      </w:r>
      <w:r w:rsidRPr="00A315B4">
        <w:rPr>
          <w:sz w:val="24"/>
          <w:szCs w:val="24"/>
          <w:lang w:val="hr-BA"/>
        </w:rPr>
        <w:t>odine.</w:t>
      </w:r>
      <w:r w:rsidRPr="00A315B4">
        <w:rPr>
          <w:sz w:val="24"/>
          <w:szCs w:val="24"/>
          <w:lang w:val="hr-BA"/>
        </w:rPr>
        <w:br w:type="page"/>
      </w:r>
    </w:p>
    <w:p w14:paraId="6D1F0FAA" w14:textId="77777777" w:rsidR="00CF152E" w:rsidRDefault="00CF152E" w:rsidP="00AB06DF">
      <w:pPr>
        <w:pStyle w:val="Naslov1"/>
      </w:pPr>
      <w:bookmarkStart w:id="15" w:name="_Toc129414328"/>
      <w:bookmarkStart w:id="16" w:name="_Toc190228384"/>
      <w:bookmarkStart w:id="17" w:name="_Toc191048968"/>
      <w:bookmarkStart w:id="18" w:name="_Toc197340770"/>
      <w:bookmarkStart w:id="19" w:name="_Toc106015333"/>
      <w:bookmarkStart w:id="20" w:name="_Toc232407823"/>
      <w:r w:rsidRPr="00706EC2">
        <w:lastRenderedPageBreak/>
        <w:t>Poglavlje 2: Srednjoročna makroekonomska prognoz</w:t>
      </w:r>
      <w:bookmarkEnd w:id="15"/>
      <w:bookmarkEnd w:id="16"/>
      <w:bookmarkEnd w:id="17"/>
      <w:r w:rsidRPr="00706EC2">
        <w:t>a</w:t>
      </w:r>
      <w:bookmarkStart w:id="21" w:name="_Toc191048969"/>
      <w:bookmarkEnd w:id="18"/>
      <w:bookmarkEnd w:id="19"/>
      <w:bookmarkEnd w:id="20"/>
    </w:p>
    <w:p w14:paraId="5BA8D056" w14:textId="77777777" w:rsidR="00AB06DF" w:rsidRPr="00AB06DF" w:rsidRDefault="00AB06DF" w:rsidP="00AB06DF"/>
    <w:p w14:paraId="764D5C83" w14:textId="77777777" w:rsidR="00CF152E" w:rsidRDefault="00CF152E" w:rsidP="00CF152E">
      <w:pPr>
        <w:rPr>
          <w:rFonts w:ascii="Arial" w:hAnsi="Arial" w:cs="Arial"/>
          <w:szCs w:val="22"/>
        </w:rPr>
      </w:pPr>
    </w:p>
    <w:bookmarkEnd w:id="21"/>
    <w:p w14:paraId="10E315AA" w14:textId="1A3DC437" w:rsidR="00CF152E" w:rsidRPr="00A315B4" w:rsidRDefault="00CF152E" w:rsidP="00CF152E">
      <w:pPr>
        <w:ind w:firstLine="708"/>
        <w:jc w:val="both"/>
        <w:rPr>
          <w:spacing w:val="-2"/>
          <w:sz w:val="24"/>
          <w:szCs w:val="24"/>
        </w:rPr>
      </w:pPr>
      <w:r w:rsidRPr="00A315B4">
        <w:rPr>
          <w:spacing w:val="-2"/>
          <w:sz w:val="24"/>
          <w:szCs w:val="24"/>
        </w:rPr>
        <w:t>U ovom poglavlju obrađene su glavni makroekonomski pokazatelji</w:t>
      </w:r>
      <w:r w:rsidR="000C454E" w:rsidRPr="00A315B4">
        <w:rPr>
          <w:spacing w:val="-2"/>
          <w:sz w:val="24"/>
          <w:szCs w:val="24"/>
        </w:rPr>
        <w:t xml:space="preserve"> za BiH i Federaciju BiH za 202</w:t>
      </w:r>
      <w:r w:rsidR="003918C5">
        <w:rPr>
          <w:spacing w:val="-2"/>
          <w:sz w:val="24"/>
          <w:szCs w:val="24"/>
        </w:rPr>
        <w:t>4</w:t>
      </w:r>
      <w:r w:rsidRPr="00A315B4">
        <w:rPr>
          <w:spacing w:val="-2"/>
          <w:sz w:val="24"/>
          <w:szCs w:val="24"/>
        </w:rPr>
        <w:t>. godinu, te projekcije makroe</w:t>
      </w:r>
      <w:r w:rsidR="000C454E" w:rsidRPr="00A315B4">
        <w:rPr>
          <w:spacing w:val="-2"/>
          <w:sz w:val="24"/>
          <w:szCs w:val="24"/>
        </w:rPr>
        <w:t>konomskih pokazatelja za 202</w:t>
      </w:r>
      <w:r w:rsidR="003918C5">
        <w:rPr>
          <w:spacing w:val="-2"/>
          <w:sz w:val="24"/>
          <w:szCs w:val="24"/>
        </w:rPr>
        <w:t>5</w:t>
      </w:r>
      <w:r w:rsidRPr="00A315B4">
        <w:rPr>
          <w:spacing w:val="-2"/>
          <w:sz w:val="24"/>
          <w:szCs w:val="24"/>
        </w:rPr>
        <w:t>. godinu i za naredno trogodišnje razdoblje. Projekcije indikatora urađene su na temelju projekcija Direkcije</w:t>
      </w:r>
      <w:r w:rsidR="000C454E" w:rsidRPr="00A315B4">
        <w:rPr>
          <w:spacing w:val="-2"/>
          <w:sz w:val="24"/>
          <w:szCs w:val="24"/>
        </w:rPr>
        <w:t xml:space="preserve"> za ekonomsko planiranje (DEP),</w:t>
      </w:r>
      <w:r w:rsidRPr="00A315B4">
        <w:rPr>
          <w:spacing w:val="-2"/>
          <w:sz w:val="24"/>
          <w:szCs w:val="24"/>
        </w:rPr>
        <w:t xml:space="preserve"> uvažavajući i projekcije međunarodnih statističkih institucija (MMF i Svjetska banka). </w:t>
      </w:r>
    </w:p>
    <w:p w14:paraId="72C2C8D6" w14:textId="77777777" w:rsidR="00CF152E" w:rsidRPr="00621D74" w:rsidRDefault="00CF152E" w:rsidP="00CF152E">
      <w:pPr>
        <w:ind w:firstLine="708"/>
        <w:jc w:val="both"/>
        <w:rPr>
          <w:spacing w:val="-2"/>
          <w:sz w:val="24"/>
          <w:szCs w:val="24"/>
        </w:rPr>
      </w:pPr>
    </w:p>
    <w:p w14:paraId="359FAEC8" w14:textId="77777777" w:rsidR="00CF152E" w:rsidRPr="00D640D2" w:rsidRDefault="00CF152E" w:rsidP="00CF152E">
      <w:pPr>
        <w:jc w:val="both"/>
        <w:rPr>
          <w:rFonts w:ascii="Arial" w:hAnsi="Arial" w:cs="Arial"/>
          <w:spacing w:val="-2"/>
          <w:szCs w:val="22"/>
        </w:rPr>
      </w:pPr>
    </w:p>
    <w:p w14:paraId="4A00FE01" w14:textId="77777777" w:rsidR="00CF152E" w:rsidRDefault="00CF152E" w:rsidP="00CF152E">
      <w:pPr>
        <w:pStyle w:val="Naslov2"/>
      </w:pPr>
      <w:bookmarkStart w:id="22" w:name="_Toc129414329"/>
      <w:bookmarkStart w:id="23" w:name="_Toc190228385"/>
      <w:bookmarkStart w:id="24" w:name="_Toc191048970"/>
      <w:bookmarkStart w:id="25" w:name="_Toc197340772"/>
      <w:bookmarkStart w:id="26" w:name="_Toc106015334"/>
      <w:bookmarkStart w:id="27" w:name="_Toc232407824"/>
      <w:r w:rsidRPr="00891B16">
        <w:t>2.1. Postojeće ekonomsko stanje i makroekonomski trendovi</w:t>
      </w:r>
      <w:bookmarkEnd w:id="22"/>
      <w:bookmarkEnd w:id="23"/>
      <w:bookmarkEnd w:id="24"/>
      <w:bookmarkEnd w:id="25"/>
      <w:bookmarkEnd w:id="26"/>
      <w:r w:rsidR="000213D9">
        <w:t xml:space="preserve"> u BIH</w:t>
      </w:r>
      <w:bookmarkEnd w:id="27"/>
    </w:p>
    <w:p w14:paraId="231D53EB" w14:textId="77777777" w:rsidR="000213D9" w:rsidRPr="000213D9" w:rsidRDefault="000213D9" w:rsidP="000213D9">
      <w:pPr>
        <w:rPr>
          <w:sz w:val="24"/>
          <w:szCs w:val="24"/>
        </w:rPr>
      </w:pPr>
    </w:p>
    <w:p w14:paraId="372912E6" w14:textId="77777777" w:rsidR="00E91112" w:rsidRPr="00E91112" w:rsidRDefault="00E91112" w:rsidP="00E91112">
      <w:pPr>
        <w:ind w:firstLine="708"/>
        <w:jc w:val="both"/>
        <w:rPr>
          <w:sz w:val="24"/>
          <w:szCs w:val="24"/>
        </w:rPr>
      </w:pPr>
    </w:p>
    <w:p w14:paraId="3DC6C1B2" w14:textId="54251C9C" w:rsidR="00E91112" w:rsidRPr="00E91112" w:rsidRDefault="00E91112" w:rsidP="00E91112">
      <w:pPr>
        <w:ind w:firstLine="708"/>
        <w:jc w:val="both"/>
        <w:rPr>
          <w:sz w:val="24"/>
          <w:szCs w:val="24"/>
        </w:rPr>
      </w:pPr>
      <w:r w:rsidRPr="00E91112">
        <w:rPr>
          <w:sz w:val="24"/>
          <w:szCs w:val="24"/>
        </w:rPr>
        <w:t>Trenutno raspoloživi međunarodni i domaći statistički podaci o ekonomskim kretanjima za 202</w:t>
      </w:r>
      <w:r w:rsidR="008916F3">
        <w:rPr>
          <w:sz w:val="24"/>
          <w:szCs w:val="24"/>
        </w:rPr>
        <w:t>4</w:t>
      </w:r>
      <w:r w:rsidRPr="00E91112">
        <w:rPr>
          <w:sz w:val="24"/>
          <w:szCs w:val="24"/>
        </w:rPr>
        <w:t>. godinu ukazuju da je trend usporavanja gospodarske aktivnosti i slabljenja ekonomskog rasta nastavljen te je projekcija da će rast realnog BDP iznositi oko 2</w:t>
      </w:r>
      <w:r w:rsidR="008916F3">
        <w:rPr>
          <w:sz w:val="24"/>
          <w:szCs w:val="24"/>
        </w:rPr>
        <w:t>,4</w:t>
      </w:r>
      <w:r w:rsidRPr="00E91112">
        <w:rPr>
          <w:sz w:val="24"/>
          <w:szCs w:val="24"/>
        </w:rPr>
        <w:t>%</w:t>
      </w:r>
      <w:r w:rsidRPr="00E91112">
        <w:rPr>
          <w:rStyle w:val="Referencafusnote"/>
          <w:rFonts w:eastAsiaTheme="majorEastAsia"/>
          <w:sz w:val="24"/>
          <w:szCs w:val="24"/>
        </w:rPr>
        <w:footnoteReference w:id="1"/>
      </w:r>
      <w:r w:rsidRPr="00E91112">
        <w:rPr>
          <w:sz w:val="24"/>
          <w:szCs w:val="24"/>
        </w:rPr>
        <w:t>. Ako se pažljivije promatra struktura projiciranog ekonomskog rasta u 202</w:t>
      </w:r>
      <w:r w:rsidR="008916F3">
        <w:rPr>
          <w:sz w:val="24"/>
          <w:szCs w:val="24"/>
        </w:rPr>
        <w:t>4</w:t>
      </w:r>
      <w:r w:rsidRPr="00E91112">
        <w:rPr>
          <w:sz w:val="24"/>
          <w:szCs w:val="24"/>
        </w:rPr>
        <w:t xml:space="preserve">. godini očekuje se da bi domaća potražnja kroz očekivano povećanje finalne potrošnje trebala predstavljati ključni oslonac rasta. </w:t>
      </w:r>
    </w:p>
    <w:p w14:paraId="0D018FBA" w14:textId="77777777" w:rsidR="00E91112" w:rsidRDefault="00E91112" w:rsidP="00E91112">
      <w:pPr>
        <w:jc w:val="both"/>
        <w:rPr>
          <w:sz w:val="24"/>
          <w:szCs w:val="24"/>
        </w:rPr>
      </w:pPr>
      <w:r w:rsidRPr="00E91112">
        <w:rPr>
          <w:sz w:val="24"/>
          <w:szCs w:val="24"/>
        </w:rPr>
        <w:tab/>
      </w:r>
    </w:p>
    <w:p w14:paraId="0FF37FAE" w14:textId="794B879E" w:rsidR="00E91112" w:rsidRDefault="00E91112" w:rsidP="00E91112">
      <w:pPr>
        <w:ind w:firstLine="360"/>
        <w:jc w:val="both"/>
        <w:rPr>
          <w:sz w:val="24"/>
          <w:szCs w:val="24"/>
        </w:rPr>
      </w:pPr>
      <w:r w:rsidRPr="00E91112">
        <w:rPr>
          <w:sz w:val="24"/>
          <w:szCs w:val="24"/>
        </w:rPr>
        <w:t xml:space="preserve">Obzirom da eksterne dinamike predstavljaju veoma važnu strukturnu odrednicu svih ekonomskih kretanja u Bosni i Hercegovini vrijedi naglasiti da će najnovija </w:t>
      </w:r>
      <w:r w:rsidR="001E1560">
        <w:rPr>
          <w:sz w:val="24"/>
          <w:szCs w:val="24"/>
        </w:rPr>
        <w:t>događanja</w:t>
      </w:r>
      <w:r w:rsidRPr="00E91112">
        <w:rPr>
          <w:sz w:val="24"/>
          <w:szCs w:val="24"/>
        </w:rPr>
        <w:t xml:space="preserve"> imati veliku ako ne i odlučujuću ulogu za izglede ekonomskog rasta u narednom razdoblju, što se naročito odnosi na 202</w:t>
      </w:r>
      <w:r w:rsidR="008916F3">
        <w:rPr>
          <w:sz w:val="24"/>
          <w:szCs w:val="24"/>
        </w:rPr>
        <w:t>5</w:t>
      </w:r>
      <w:r w:rsidRPr="00E91112">
        <w:rPr>
          <w:sz w:val="24"/>
          <w:szCs w:val="24"/>
        </w:rPr>
        <w:t>. godinu. Osim eksternih dinamika, jako bitan faktor za ekonomski rast u zemlji tokom programskog perioda 202</w:t>
      </w:r>
      <w:r w:rsidR="008916F3">
        <w:rPr>
          <w:sz w:val="24"/>
          <w:szCs w:val="24"/>
        </w:rPr>
        <w:t>5</w:t>
      </w:r>
      <w:r w:rsidRPr="00E91112">
        <w:rPr>
          <w:sz w:val="24"/>
          <w:szCs w:val="24"/>
        </w:rPr>
        <w:t>.-202</w:t>
      </w:r>
      <w:r w:rsidR="008916F3">
        <w:rPr>
          <w:sz w:val="24"/>
          <w:szCs w:val="24"/>
        </w:rPr>
        <w:t>8</w:t>
      </w:r>
      <w:r w:rsidRPr="00E91112">
        <w:rPr>
          <w:sz w:val="24"/>
          <w:szCs w:val="24"/>
        </w:rPr>
        <w:t xml:space="preserve">. godina predstavljat će i institucionalni kapacitet zemlje u provedbi strukturalnih reformi kako bi se ojačao doprinos internih dinamika u kreiranju istog. </w:t>
      </w:r>
    </w:p>
    <w:p w14:paraId="0B75F707" w14:textId="77777777" w:rsidR="00E91112" w:rsidRDefault="00E91112" w:rsidP="00E91112">
      <w:pPr>
        <w:ind w:firstLine="708"/>
        <w:jc w:val="both"/>
        <w:rPr>
          <w:sz w:val="24"/>
          <w:szCs w:val="24"/>
        </w:rPr>
      </w:pPr>
    </w:p>
    <w:p w14:paraId="47927F97" w14:textId="7A32D451" w:rsidR="00E91112" w:rsidRPr="00E91112" w:rsidRDefault="00E91112" w:rsidP="00E91112">
      <w:pPr>
        <w:ind w:firstLine="708"/>
        <w:jc w:val="both"/>
        <w:rPr>
          <w:sz w:val="24"/>
          <w:szCs w:val="24"/>
        </w:rPr>
      </w:pPr>
      <w:r w:rsidRPr="00E91112">
        <w:rPr>
          <w:sz w:val="24"/>
          <w:szCs w:val="24"/>
        </w:rPr>
        <w:t xml:space="preserve">Daljnje </w:t>
      </w:r>
      <w:r w:rsidR="008916F3">
        <w:rPr>
          <w:sz w:val="24"/>
          <w:szCs w:val="24"/>
        </w:rPr>
        <w:t>slaganje</w:t>
      </w:r>
      <w:r w:rsidRPr="00E91112">
        <w:rPr>
          <w:sz w:val="24"/>
          <w:szCs w:val="24"/>
        </w:rPr>
        <w:t xml:space="preserve"> kako eksternih tako i internih dinamika bi imalo veoma negativne posljedice po bosanskohercegovačku ekonomiju i smanjila njen potencijalni rast. Imajući u vidu navedene kako eksterne tako i interne okolnosti, prema projekcijama DEP-a u periodu 202</w:t>
      </w:r>
      <w:r w:rsidR="008916F3">
        <w:rPr>
          <w:sz w:val="24"/>
          <w:szCs w:val="24"/>
        </w:rPr>
        <w:t>5</w:t>
      </w:r>
      <w:r w:rsidRPr="00E91112">
        <w:rPr>
          <w:sz w:val="24"/>
          <w:szCs w:val="24"/>
        </w:rPr>
        <w:t>-202</w:t>
      </w:r>
      <w:r w:rsidR="008916F3">
        <w:rPr>
          <w:sz w:val="24"/>
          <w:szCs w:val="24"/>
        </w:rPr>
        <w:t>8</w:t>
      </w:r>
      <w:r w:rsidRPr="00E91112">
        <w:rPr>
          <w:sz w:val="24"/>
          <w:szCs w:val="24"/>
        </w:rPr>
        <w:t xml:space="preserve">. godina u Bosni i Hercegovini se može očekivati realni ekonomski rast sa prosječnom stopom rasta od oko </w:t>
      </w:r>
      <w:r w:rsidR="008916F3">
        <w:rPr>
          <w:sz w:val="24"/>
          <w:szCs w:val="24"/>
        </w:rPr>
        <w:t>2</w:t>
      </w:r>
      <w:r w:rsidR="00334422">
        <w:rPr>
          <w:sz w:val="24"/>
          <w:szCs w:val="24"/>
        </w:rPr>
        <w:t>,1</w:t>
      </w:r>
      <w:r w:rsidRPr="00E91112">
        <w:rPr>
          <w:sz w:val="24"/>
          <w:szCs w:val="24"/>
        </w:rPr>
        <w:t>% na godišnjem nivou</w:t>
      </w:r>
      <w:r w:rsidR="00334422">
        <w:rPr>
          <w:sz w:val="24"/>
          <w:szCs w:val="24"/>
        </w:rPr>
        <w:t>.</w:t>
      </w:r>
      <w:r w:rsidRPr="00E91112">
        <w:rPr>
          <w:sz w:val="24"/>
          <w:szCs w:val="24"/>
        </w:rPr>
        <w:t xml:space="preserve"> Pretpostavlja se da bi ključni oslonac ekonomskog rasta tokom ovog razdoblja trebala predstavljati domaća potražnja kroz povećanje osobne potrošnje i investicija.</w:t>
      </w:r>
    </w:p>
    <w:p w14:paraId="5A359899" w14:textId="77777777" w:rsidR="009E36F2" w:rsidRPr="00A315B4" w:rsidRDefault="009E36F2" w:rsidP="009E36F2">
      <w:pPr>
        <w:ind w:firstLine="708"/>
        <w:jc w:val="both"/>
        <w:rPr>
          <w:sz w:val="24"/>
          <w:szCs w:val="24"/>
          <w:highlight w:val="yellow"/>
        </w:rPr>
      </w:pPr>
    </w:p>
    <w:p w14:paraId="552C1021" w14:textId="543E0DB7" w:rsidR="009E36F2" w:rsidRDefault="009E36F2" w:rsidP="00D82381">
      <w:pPr>
        <w:ind w:firstLine="708"/>
        <w:jc w:val="both"/>
        <w:rPr>
          <w:sz w:val="24"/>
          <w:szCs w:val="24"/>
        </w:rPr>
      </w:pPr>
      <w:r w:rsidRPr="00997F90">
        <w:rPr>
          <w:sz w:val="24"/>
          <w:szCs w:val="24"/>
        </w:rPr>
        <w:t xml:space="preserve">U nastavku ćemo se osvrnuti na neke od indikatora ekonomskog </w:t>
      </w:r>
      <w:r w:rsidR="00997F90" w:rsidRPr="00997F90">
        <w:rPr>
          <w:sz w:val="24"/>
          <w:szCs w:val="24"/>
        </w:rPr>
        <w:t xml:space="preserve">rasta Bosne i Hercegovine </w:t>
      </w:r>
      <w:r w:rsidR="00285456">
        <w:rPr>
          <w:sz w:val="24"/>
          <w:szCs w:val="24"/>
        </w:rPr>
        <w:t>za prvi kvartal</w:t>
      </w:r>
      <w:r w:rsidR="00997F90" w:rsidRPr="00997F90">
        <w:rPr>
          <w:sz w:val="24"/>
          <w:szCs w:val="24"/>
        </w:rPr>
        <w:t xml:space="preserve"> 202</w:t>
      </w:r>
      <w:r w:rsidR="00334422">
        <w:rPr>
          <w:sz w:val="24"/>
          <w:szCs w:val="24"/>
        </w:rPr>
        <w:t>5</w:t>
      </w:r>
      <w:r w:rsidR="00285456">
        <w:rPr>
          <w:sz w:val="24"/>
          <w:szCs w:val="24"/>
        </w:rPr>
        <w:t>. godine</w:t>
      </w:r>
      <w:r w:rsidR="00285456">
        <w:rPr>
          <w:rStyle w:val="Referencafusnote"/>
          <w:sz w:val="24"/>
          <w:szCs w:val="24"/>
        </w:rPr>
        <w:footnoteReference w:id="2"/>
      </w:r>
      <w:r w:rsidRPr="00997F90">
        <w:rPr>
          <w:sz w:val="24"/>
          <w:szCs w:val="24"/>
        </w:rPr>
        <w:t>:</w:t>
      </w:r>
    </w:p>
    <w:p w14:paraId="0F213D6B" w14:textId="77777777" w:rsidR="00334422" w:rsidRPr="00997F90" w:rsidRDefault="00334422" w:rsidP="00D82381">
      <w:pPr>
        <w:ind w:firstLine="708"/>
        <w:jc w:val="both"/>
        <w:rPr>
          <w:sz w:val="24"/>
          <w:szCs w:val="24"/>
        </w:rPr>
      </w:pPr>
    </w:p>
    <w:p w14:paraId="1673A712" w14:textId="7184EE74" w:rsidR="00285456" w:rsidRPr="00334422" w:rsidRDefault="009E36F2" w:rsidP="00285456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285456">
        <w:rPr>
          <w:i/>
          <w:szCs w:val="24"/>
          <w:u w:val="single"/>
        </w:rPr>
        <w:t>Industrijska proizvodnja</w:t>
      </w:r>
      <w:r w:rsidRPr="00285456">
        <w:rPr>
          <w:szCs w:val="24"/>
          <w:u w:val="single"/>
        </w:rPr>
        <w:t xml:space="preserve"> </w:t>
      </w:r>
      <w:r w:rsidRPr="00285456">
        <w:rPr>
          <w:szCs w:val="24"/>
        </w:rPr>
        <w:t>–</w:t>
      </w:r>
      <w:r w:rsidR="00044CA3">
        <w:rPr>
          <w:szCs w:val="24"/>
        </w:rPr>
        <w:t xml:space="preserve"> </w:t>
      </w:r>
      <w:r w:rsidR="00334422">
        <w:t xml:space="preserve">Neuvjerljiv ekonomski rast i industrijski izgledi u EU, dodatno otežani globalnim geopolitičkim nestabilnostima, novonastalim problemima u trgovini sa Sjedinjenim Američkim Državama (najava carina za europsku robu) uticali su na smanjenje tražnje na tržištima naših glavnih trgovinskih partnera, što se ogleda u blagoj stagnaciji </w:t>
      </w:r>
      <w:r w:rsidR="003301FF">
        <w:t>obujma</w:t>
      </w:r>
      <w:r w:rsidR="00334422">
        <w:t xml:space="preserve"> industrijske proizvodnje u prvom kvartalu 2025. godine.</w:t>
      </w:r>
    </w:p>
    <w:p w14:paraId="2CF45EDA" w14:textId="77777777" w:rsidR="00334422" w:rsidRDefault="00334422" w:rsidP="00334422">
      <w:pPr>
        <w:pStyle w:val="Odlomakpopisa"/>
        <w:jc w:val="both"/>
        <w:rPr>
          <w:szCs w:val="24"/>
        </w:rPr>
      </w:pPr>
    </w:p>
    <w:p w14:paraId="6DDD1249" w14:textId="645D9147" w:rsidR="009E36F2" w:rsidRPr="00285456" w:rsidRDefault="009E36F2" w:rsidP="00285456">
      <w:pPr>
        <w:pStyle w:val="Odlomakpopisa"/>
        <w:numPr>
          <w:ilvl w:val="0"/>
          <w:numId w:val="2"/>
        </w:numPr>
        <w:jc w:val="both"/>
        <w:rPr>
          <w:szCs w:val="24"/>
        </w:rPr>
      </w:pPr>
      <w:r w:rsidRPr="00285456">
        <w:rPr>
          <w:i/>
          <w:szCs w:val="24"/>
          <w:u w:val="single"/>
        </w:rPr>
        <w:lastRenderedPageBreak/>
        <w:t>Cijene</w:t>
      </w:r>
      <w:r w:rsidRPr="00285456">
        <w:rPr>
          <w:szCs w:val="24"/>
        </w:rPr>
        <w:t xml:space="preserve"> – </w:t>
      </w:r>
      <w:r w:rsidR="008422C1">
        <w:t>Tokom prvog kvartala 2025. godine u FBiH u zabilježene su umjereno promjene potrošačkih cijena. U odnosu na prethodni mjesec, u siječnju 2025. godine cijene su u prosjeku porasle za 1,1%, u veljači 2025. godine cijene su rasle za 0,7%, dok je u ožujku zabilježen pad cijena za 0,2%. Promatrano po odjeljcima koji imaju najveću relativnu važnost, u travnju 2025. godine zabilježeno je povećanje cijena hrane za 0,4%, dok su cijene transporta i energije smanjene za 2,0% i 0,7%, respektivno. U odnosu na isti mjesec prethodne godine, u siječnju 2025. godine cijene su u prosjeku porasle za 3,0%, cijene hrane su porasle za 6,8%, dok su cijene energije i transporta niže za 1,0% i 3,6% respektivno.</w:t>
      </w:r>
    </w:p>
    <w:p w14:paraId="551375ED" w14:textId="221F51E6" w:rsidR="009E36F2" w:rsidRPr="008422C1" w:rsidRDefault="009E36F2" w:rsidP="00636C3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997F90">
        <w:rPr>
          <w:i/>
          <w:szCs w:val="24"/>
          <w:u w:val="single"/>
        </w:rPr>
        <w:t>Nezaposlenost</w:t>
      </w:r>
      <w:r w:rsidRPr="00997F90">
        <w:rPr>
          <w:szCs w:val="24"/>
        </w:rPr>
        <w:t xml:space="preserve"> – </w:t>
      </w:r>
      <w:r w:rsidR="008422C1">
        <w:t xml:space="preserve">, prosječan broj nezaposlenih u prvom kvartalu 2025. godine iznosio je 258.674 lica. Ovaj broj je u usporedbi s prethodnim kvartalom veći za 2.849 </w:t>
      </w:r>
      <w:r w:rsidR="003301FF">
        <w:t>osoba</w:t>
      </w:r>
      <w:r w:rsidR="008422C1">
        <w:t xml:space="preserve">, odnosno za 1,1%. U odnosu sa prvim kvartalom prethodne godine, broj nezaposlenih je manji za 8.254 </w:t>
      </w:r>
      <w:r w:rsidR="003301FF">
        <w:t>osoba</w:t>
      </w:r>
      <w:r w:rsidR="008422C1">
        <w:t>, što predstavlja smanjenje od 3,1%. Prema anketnim podacima Federalnog zavoda za statistiku, stopa aktivnosti radno sposobnog stanovništva u Federaciji BiH u prvom kvartalu 2025. godine iznosila je 49,2%. U odnosu na prethodni kvartal zabilježen je blagi porast od 0,1 p.p., dok je u odnosu s istim kvartalom prethodne godine stopa aktivnosti također viša za 0,1 p.p.</w:t>
      </w:r>
    </w:p>
    <w:p w14:paraId="1C4F0B09" w14:textId="77777777" w:rsidR="008422C1" w:rsidRPr="008422C1" w:rsidRDefault="008422C1" w:rsidP="008422C1">
      <w:pPr>
        <w:ind w:left="360"/>
        <w:jc w:val="both"/>
        <w:rPr>
          <w:szCs w:val="24"/>
        </w:rPr>
      </w:pPr>
    </w:p>
    <w:p w14:paraId="669FE53B" w14:textId="7B807BFD" w:rsidR="009E36F2" w:rsidRPr="008422C1" w:rsidRDefault="009E36F2" w:rsidP="0040767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997F90">
        <w:rPr>
          <w:i/>
          <w:szCs w:val="24"/>
          <w:u w:val="single"/>
        </w:rPr>
        <w:t>Plaće</w:t>
      </w:r>
      <w:r w:rsidR="004701D2">
        <w:rPr>
          <w:szCs w:val="24"/>
        </w:rPr>
        <w:t xml:space="preserve"> </w:t>
      </w:r>
      <w:r w:rsidR="008422C1">
        <w:rPr>
          <w:szCs w:val="24"/>
        </w:rPr>
        <w:t xml:space="preserve">- </w:t>
      </w:r>
      <w:r w:rsidR="008422C1">
        <w:t>Povećanje prosječne plaće u Federaciji BiH u prvom kvartalu 2025. godine direktno je povezano s odlukom Vlade FBiH o utvrđivanju minimalne plate u iznosu od 1.000 KM, koja je stupila na snagu 1. siječnja 2025. godine. Prosječna mjesečna neto plata u ožujku 2025. godine iznosila je 1.565 KM, dok je prosječna bruto plaća u istom mjesecu iznosila 2.444 KM. U odnosu na isti period prethodne godine, prosječna neto pl</w:t>
      </w:r>
      <w:r w:rsidR="003301FF">
        <w:t>aća</w:t>
      </w:r>
      <w:r w:rsidR="008422C1">
        <w:t xml:space="preserve"> veća je za 230 KM, odnosno za 17,2%.</w:t>
      </w:r>
    </w:p>
    <w:p w14:paraId="00DED6F7" w14:textId="77777777" w:rsidR="008422C1" w:rsidRPr="008422C1" w:rsidRDefault="008422C1" w:rsidP="008422C1">
      <w:pPr>
        <w:jc w:val="both"/>
        <w:rPr>
          <w:szCs w:val="24"/>
        </w:rPr>
      </w:pPr>
    </w:p>
    <w:p w14:paraId="1F29E400" w14:textId="4B56589D" w:rsidR="009E36F2" w:rsidRPr="00E91112" w:rsidRDefault="009E36F2" w:rsidP="0040767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997F90">
        <w:rPr>
          <w:i/>
          <w:szCs w:val="24"/>
          <w:u w:val="single"/>
        </w:rPr>
        <w:t>Fiskalni sektor</w:t>
      </w:r>
      <w:r w:rsidRPr="00997F90">
        <w:rPr>
          <w:szCs w:val="24"/>
        </w:rPr>
        <w:t xml:space="preserve"> – fiskalni pokazatelji ukazuju </w:t>
      </w:r>
      <w:r w:rsidR="00F36FE2">
        <w:rPr>
          <w:szCs w:val="24"/>
        </w:rPr>
        <w:t>na rast prihoda i rashoda u prvom kvartalu 202</w:t>
      </w:r>
      <w:r w:rsidR="00A66306">
        <w:rPr>
          <w:szCs w:val="24"/>
        </w:rPr>
        <w:t>5</w:t>
      </w:r>
      <w:r w:rsidRPr="00997F90">
        <w:rPr>
          <w:szCs w:val="24"/>
        </w:rPr>
        <w:t xml:space="preserve">. godini što se može objasniti porastom opće razine cijena. Snažan rast opće razine cijena uzrokovao je značajan rast neto prihoda od neizravnih poreza. </w:t>
      </w:r>
    </w:p>
    <w:p w14:paraId="251C8621" w14:textId="77777777" w:rsidR="00E91112" w:rsidRDefault="00E91112" w:rsidP="00E91112">
      <w:pPr>
        <w:jc w:val="both"/>
        <w:rPr>
          <w:u w:val="single"/>
        </w:rPr>
      </w:pPr>
    </w:p>
    <w:p w14:paraId="52526752" w14:textId="6D09284B" w:rsidR="00CF152E" w:rsidRPr="00E91112" w:rsidRDefault="00E91112" w:rsidP="00D82381">
      <w:pPr>
        <w:ind w:firstLine="708"/>
        <w:jc w:val="both"/>
        <w:rPr>
          <w:sz w:val="24"/>
          <w:szCs w:val="24"/>
          <w:highlight w:val="yellow"/>
        </w:rPr>
      </w:pPr>
      <w:r w:rsidRPr="00E91112">
        <w:rPr>
          <w:sz w:val="24"/>
          <w:szCs w:val="24"/>
        </w:rPr>
        <w:t xml:space="preserve">Nakon </w:t>
      </w:r>
      <w:proofErr w:type="spellStart"/>
      <w:r w:rsidRPr="00E91112">
        <w:rPr>
          <w:sz w:val="24"/>
          <w:szCs w:val="24"/>
        </w:rPr>
        <w:t>pandemijske</w:t>
      </w:r>
      <w:proofErr w:type="spellEnd"/>
      <w:r w:rsidRPr="00E91112">
        <w:rPr>
          <w:sz w:val="24"/>
          <w:szCs w:val="24"/>
        </w:rPr>
        <w:t xml:space="preserve"> godine koju je obilježila svjetska zdravstvena i ekonomska kriza, Bosna i Hercegovina je u 2021. godini zabilježila relativno snažan oporavak ekonomskog rasta. Međutim, nedugo zatim u prvoj polovini 2022. godine došlo je do izbijanja sukoba u Ukrajini što je imalo veoma negativne posljedice na post-</w:t>
      </w:r>
      <w:proofErr w:type="spellStart"/>
      <w:r w:rsidRPr="00E91112">
        <w:rPr>
          <w:sz w:val="24"/>
          <w:szCs w:val="24"/>
        </w:rPr>
        <w:t>pandemijski</w:t>
      </w:r>
      <w:proofErr w:type="spellEnd"/>
      <w:r w:rsidRPr="00E91112">
        <w:rPr>
          <w:sz w:val="24"/>
          <w:szCs w:val="24"/>
        </w:rPr>
        <w:t xml:space="preserve"> ekonomski oporavak svjetske ekonomije, glavnih trgovinskih partnera, te u konačnici i na Bosnu i Hercegovinu. Naime, uslijed rasta svjetskih cijena energenata i hrane došlo je do jačanja inflatornih pritisaka u svijetu što je prepolovilo globalni  ekonomski rast. Statistički podatci pokazuju da je Bosna i Hercegovina unatoč vanjskim i unutarnjim čimbenicima u 202</w:t>
      </w:r>
      <w:r w:rsidR="00A66306">
        <w:rPr>
          <w:sz w:val="24"/>
          <w:szCs w:val="24"/>
        </w:rPr>
        <w:t>4</w:t>
      </w:r>
      <w:r w:rsidRPr="00E91112">
        <w:rPr>
          <w:sz w:val="24"/>
          <w:szCs w:val="24"/>
        </w:rPr>
        <w:t>. godini ostvarila realni rast BDP-a</w:t>
      </w:r>
      <w:r w:rsidR="006D039E">
        <w:rPr>
          <w:sz w:val="24"/>
          <w:szCs w:val="24"/>
        </w:rPr>
        <w:t>.</w:t>
      </w:r>
    </w:p>
    <w:p w14:paraId="3E528BA2" w14:textId="77777777" w:rsidR="00CF152E" w:rsidRDefault="00CF152E" w:rsidP="00CF152E">
      <w:pPr>
        <w:rPr>
          <w:rFonts w:ascii="Arial" w:hAnsi="Arial" w:cs="Arial"/>
          <w:i/>
          <w:sz w:val="20"/>
        </w:rPr>
      </w:pPr>
    </w:p>
    <w:p w14:paraId="0281385F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1BA10B4D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0C865AA9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262BEEEE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58A7CEB4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180FA938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7F0333C8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6CB34A1B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063E4CA6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7DF84C80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52FA6612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13128041" w14:textId="77777777" w:rsidR="00A66306" w:rsidRDefault="00A66306" w:rsidP="00CF152E">
      <w:pPr>
        <w:rPr>
          <w:rFonts w:ascii="Arial" w:hAnsi="Arial" w:cs="Arial"/>
          <w:i/>
          <w:sz w:val="20"/>
        </w:rPr>
      </w:pPr>
    </w:p>
    <w:p w14:paraId="7FC38D54" w14:textId="31238E9C" w:rsidR="00CF152E" w:rsidRPr="00D82381" w:rsidRDefault="00AC7A15" w:rsidP="00AC7A15">
      <w:pPr>
        <w:pStyle w:val="Opisslike"/>
      </w:pPr>
      <w:bookmarkStart w:id="28" w:name="_Toc106179185"/>
      <w:bookmarkStart w:id="29" w:name="_Toc232407849"/>
      <w:r>
        <w:lastRenderedPageBreak/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</w:t>
      </w:r>
      <w:r w:rsidR="00D82381">
        <w:fldChar w:fldCharType="end"/>
      </w:r>
      <w:r>
        <w:t>.</w:t>
      </w:r>
      <w:r w:rsidR="00D82381">
        <w:t xml:space="preserve"> </w:t>
      </w:r>
      <w:r w:rsidR="00CF152E" w:rsidRPr="005F6AC8">
        <w:rPr>
          <w:sz w:val="20"/>
        </w:rPr>
        <w:t>Makroekonomski poka</w:t>
      </w:r>
      <w:r w:rsidR="00E91112">
        <w:rPr>
          <w:sz w:val="20"/>
        </w:rPr>
        <w:t>zatelji za BiH za razdoblje 202</w:t>
      </w:r>
      <w:r w:rsidR="00A66306">
        <w:rPr>
          <w:sz w:val="20"/>
        </w:rPr>
        <w:t>4</w:t>
      </w:r>
      <w:r w:rsidR="00E91112">
        <w:rPr>
          <w:sz w:val="20"/>
        </w:rPr>
        <w:t>.- 202</w:t>
      </w:r>
      <w:r w:rsidR="00A66306">
        <w:rPr>
          <w:sz w:val="20"/>
        </w:rPr>
        <w:t>9</w:t>
      </w:r>
      <w:r w:rsidR="00CF152E" w:rsidRPr="005F6AC8">
        <w:rPr>
          <w:sz w:val="20"/>
        </w:rPr>
        <w:t xml:space="preserve">. </w:t>
      </w:r>
      <w:r w:rsidR="00E91112">
        <w:rPr>
          <w:sz w:val="20"/>
        </w:rPr>
        <w:t>G</w:t>
      </w:r>
      <w:r w:rsidR="00CF152E" w:rsidRPr="005F6AC8">
        <w:rPr>
          <w:sz w:val="20"/>
        </w:rPr>
        <w:t>odine</w:t>
      </w:r>
      <w:bookmarkEnd w:id="28"/>
      <w:bookmarkEnd w:id="29"/>
    </w:p>
    <w:tbl>
      <w:tblPr>
        <w:tblStyle w:val="Svijetlipopis-Isticanje11"/>
        <w:tblW w:w="9639" w:type="dxa"/>
        <w:tblLook w:val="04A0" w:firstRow="1" w:lastRow="0" w:firstColumn="1" w:lastColumn="0" w:noHBand="0" w:noVBand="1"/>
      </w:tblPr>
      <w:tblGrid>
        <w:gridCol w:w="2894"/>
        <w:gridCol w:w="1185"/>
        <w:gridCol w:w="1112"/>
        <w:gridCol w:w="1112"/>
        <w:gridCol w:w="1112"/>
        <w:gridCol w:w="1112"/>
        <w:gridCol w:w="1112"/>
      </w:tblGrid>
      <w:tr w:rsidR="00E91112" w:rsidRPr="00A7332E" w14:paraId="214231B1" w14:textId="77777777" w:rsidTr="00D82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vMerge w:val="restart"/>
            <w:vAlign w:val="center"/>
            <w:hideMark/>
          </w:tcPr>
          <w:p w14:paraId="0C11DAA9" w14:textId="77777777" w:rsidR="00E91112" w:rsidRPr="00A7332E" w:rsidRDefault="00E91112" w:rsidP="00D82381">
            <w:pPr>
              <w:jc w:val="center"/>
              <w:rPr>
                <w:color w:val="000000"/>
                <w:szCs w:val="24"/>
              </w:rPr>
            </w:pPr>
            <w:r w:rsidRPr="00A7332E">
              <w:rPr>
                <w:color w:val="000000"/>
                <w:szCs w:val="24"/>
              </w:rPr>
              <w:t>Pokazatelj</w:t>
            </w:r>
          </w:p>
        </w:tc>
        <w:tc>
          <w:tcPr>
            <w:tcW w:w="940" w:type="dxa"/>
            <w:vMerge w:val="restart"/>
            <w:vAlign w:val="center"/>
            <w:hideMark/>
          </w:tcPr>
          <w:p w14:paraId="23FE44B6" w14:textId="77777777" w:rsidR="00E91112" w:rsidRPr="00A7332E" w:rsidRDefault="00E91112" w:rsidP="00D82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Službeni podatak</w:t>
            </w:r>
          </w:p>
        </w:tc>
        <w:tc>
          <w:tcPr>
            <w:tcW w:w="4800" w:type="dxa"/>
            <w:gridSpan w:val="5"/>
            <w:vMerge w:val="restart"/>
            <w:vAlign w:val="center"/>
            <w:hideMark/>
          </w:tcPr>
          <w:p w14:paraId="6C9EC03F" w14:textId="77777777" w:rsidR="00E91112" w:rsidRPr="00A7332E" w:rsidRDefault="00E91112" w:rsidP="00D82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4"/>
              </w:rPr>
            </w:pPr>
            <w:r w:rsidRPr="00A7332E">
              <w:rPr>
                <w:color w:val="000000"/>
                <w:szCs w:val="24"/>
              </w:rPr>
              <w:t>Projekcije</w:t>
            </w:r>
          </w:p>
        </w:tc>
      </w:tr>
      <w:tr w:rsidR="00E91112" w:rsidRPr="00A7332E" w14:paraId="77D1AEA0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vMerge/>
            <w:hideMark/>
          </w:tcPr>
          <w:p w14:paraId="03791012" w14:textId="77777777" w:rsidR="00E91112" w:rsidRPr="00A7332E" w:rsidRDefault="00E91112" w:rsidP="00D82381">
            <w:pPr>
              <w:rPr>
                <w:color w:val="000000"/>
                <w:szCs w:val="24"/>
              </w:rPr>
            </w:pPr>
          </w:p>
        </w:tc>
        <w:tc>
          <w:tcPr>
            <w:tcW w:w="940" w:type="dxa"/>
            <w:vMerge/>
            <w:hideMark/>
          </w:tcPr>
          <w:p w14:paraId="566A41ED" w14:textId="77777777" w:rsidR="00E91112" w:rsidRPr="00A7332E" w:rsidRDefault="00E91112" w:rsidP="00D82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gridSpan w:val="5"/>
            <w:vMerge/>
            <w:hideMark/>
          </w:tcPr>
          <w:p w14:paraId="45701490" w14:textId="77777777" w:rsidR="00E91112" w:rsidRPr="00A7332E" w:rsidRDefault="00E91112" w:rsidP="00D82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Cs w:val="24"/>
              </w:rPr>
            </w:pPr>
          </w:p>
        </w:tc>
      </w:tr>
      <w:tr w:rsidR="00E91112" w:rsidRPr="00A7332E" w14:paraId="61D5267A" w14:textId="77777777" w:rsidTr="00D8238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vMerge/>
            <w:hideMark/>
          </w:tcPr>
          <w:p w14:paraId="422539EB" w14:textId="77777777" w:rsidR="00E91112" w:rsidRPr="00A7332E" w:rsidRDefault="00E91112" w:rsidP="00D82381">
            <w:pPr>
              <w:rPr>
                <w:color w:val="000000"/>
                <w:szCs w:val="24"/>
              </w:rPr>
            </w:pPr>
          </w:p>
        </w:tc>
        <w:tc>
          <w:tcPr>
            <w:tcW w:w="940" w:type="dxa"/>
            <w:hideMark/>
          </w:tcPr>
          <w:p w14:paraId="292BC7B6" w14:textId="5582119B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202</w:t>
            </w:r>
            <w:r w:rsidR="00A66306">
              <w:rPr>
                <w:color w:val="000000"/>
              </w:rPr>
              <w:t>4</w:t>
            </w:r>
            <w:r w:rsidRPr="00A7332E">
              <w:rPr>
                <w:color w:val="000000"/>
              </w:rPr>
              <w:t>.</w:t>
            </w:r>
          </w:p>
        </w:tc>
        <w:tc>
          <w:tcPr>
            <w:tcW w:w="960" w:type="dxa"/>
            <w:hideMark/>
          </w:tcPr>
          <w:p w14:paraId="0F9954B5" w14:textId="2A8A43B6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202</w:t>
            </w:r>
            <w:r w:rsidR="00A66306">
              <w:rPr>
                <w:color w:val="000000"/>
              </w:rPr>
              <w:t>5</w:t>
            </w:r>
            <w:r w:rsidRPr="00A7332E">
              <w:rPr>
                <w:color w:val="000000"/>
              </w:rPr>
              <w:t>.</w:t>
            </w:r>
          </w:p>
        </w:tc>
        <w:tc>
          <w:tcPr>
            <w:tcW w:w="960" w:type="dxa"/>
            <w:hideMark/>
          </w:tcPr>
          <w:p w14:paraId="08535117" w14:textId="62873C24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202</w:t>
            </w:r>
            <w:r w:rsidR="00A66306">
              <w:rPr>
                <w:color w:val="000000"/>
              </w:rPr>
              <w:t>6</w:t>
            </w:r>
            <w:r w:rsidRPr="00A7332E">
              <w:rPr>
                <w:color w:val="000000"/>
              </w:rPr>
              <w:t>.</w:t>
            </w:r>
          </w:p>
        </w:tc>
        <w:tc>
          <w:tcPr>
            <w:tcW w:w="960" w:type="dxa"/>
            <w:hideMark/>
          </w:tcPr>
          <w:p w14:paraId="7F5A8EB5" w14:textId="2235F4BA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202</w:t>
            </w:r>
            <w:r w:rsidR="00A66306">
              <w:rPr>
                <w:color w:val="000000"/>
              </w:rPr>
              <w:t>7</w:t>
            </w:r>
            <w:r w:rsidRPr="00A7332E">
              <w:rPr>
                <w:color w:val="000000"/>
              </w:rPr>
              <w:t>.</w:t>
            </w:r>
          </w:p>
        </w:tc>
        <w:tc>
          <w:tcPr>
            <w:tcW w:w="960" w:type="dxa"/>
            <w:hideMark/>
          </w:tcPr>
          <w:p w14:paraId="5021AE2A" w14:textId="41265F18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202</w:t>
            </w:r>
            <w:r w:rsidR="00A66306">
              <w:rPr>
                <w:color w:val="000000"/>
              </w:rPr>
              <w:t>8</w:t>
            </w:r>
            <w:r w:rsidRPr="00A7332E">
              <w:rPr>
                <w:color w:val="00000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37235734" w14:textId="3C8209AD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202</w:t>
            </w:r>
            <w:r w:rsidR="00A66306">
              <w:rPr>
                <w:rFonts w:ascii="Calibri" w:hAnsi="Calibri" w:cs="Calibri"/>
                <w:color w:val="000000"/>
              </w:rPr>
              <w:t>9</w:t>
            </w:r>
            <w:r w:rsidRPr="00A7332E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E91112" w:rsidRPr="00A7332E" w14:paraId="0BEC890E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49320630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Nominalni BDP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1F24408C" w14:textId="7A2E01F6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66306">
              <w:rPr>
                <w:color w:val="000000"/>
              </w:rPr>
              <w:t>5.091</w:t>
            </w:r>
          </w:p>
        </w:tc>
        <w:tc>
          <w:tcPr>
            <w:tcW w:w="960" w:type="dxa"/>
            <w:hideMark/>
          </w:tcPr>
          <w:p w14:paraId="4CCCFDEB" w14:textId="2C194CC2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66306">
              <w:rPr>
                <w:color w:val="000000"/>
              </w:rPr>
              <w:t>9.440</w:t>
            </w:r>
          </w:p>
        </w:tc>
        <w:tc>
          <w:tcPr>
            <w:tcW w:w="960" w:type="dxa"/>
            <w:hideMark/>
          </w:tcPr>
          <w:p w14:paraId="6F361003" w14:textId="7ECF99A2" w:rsidR="00E91112" w:rsidRPr="00A7332E" w:rsidRDefault="00A66306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62.895</w:t>
            </w:r>
          </w:p>
        </w:tc>
        <w:tc>
          <w:tcPr>
            <w:tcW w:w="960" w:type="dxa"/>
            <w:hideMark/>
          </w:tcPr>
          <w:p w14:paraId="081135A9" w14:textId="50DE3E2A" w:rsidR="00E91112" w:rsidRPr="00A7332E" w:rsidRDefault="00A66306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66.115</w:t>
            </w:r>
          </w:p>
        </w:tc>
        <w:tc>
          <w:tcPr>
            <w:tcW w:w="960" w:type="dxa"/>
            <w:hideMark/>
          </w:tcPr>
          <w:p w14:paraId="17443D88" w14:textId="01BD2165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66306">
              <w:rPr>
                <w:color w:val="000000"/>
              </w:rPr>
              <w:t>9.602</w:t>
            </w:r>
          </w:p>
        </w:tc>
        <w:tc>
          <w:tcPr>
            <w:tcW w:w="960" w:type="dxa"/>
            <w:noWrap/>
            <w:hideMark/>
          </w:tcPr>
          <w:p w14:paraId="2FF95988" w14:textId="01472A30" w:rsidR="00E91112" w:rsidRPr="00A7332E" w:rsidRDefault="00A66306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73.486</w:t>
            </w:r>
          </w:p>
        </w:tc>
      </w:tr>
      <w:tr w:rsidR="00E91112" w:rsidRPr="00A7332E" w14:paraId="2EE3C7A8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0C529EFA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Nominalni rast u %</w:t>
            </w:r>
          </w:p>
        </w:tc>
        <w:tc>
          <w:tcPr>
            <w:tcW w:w="940" w:type="dxa"/>
            <w:hideMark/>
          </w:tcPr>
          <w:p w14:paraId="58A99BD5" w14:textId="0ACA8BED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6</w:t>
            </w:r>
          </w:p>
        </w:tc>
        <w:tc>
          <w:tcPr>
            <w:tcW w:w="960" w:type="dxa"/>
            <w:hideMark/>
          </w:tcPr>
          <w:p w14:paraId="7DCC315D" w14:textId="64E2E7F1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7,9</w:t>
            </w:r>
          </w:p>
        </w:tc>
        <w:tc>
          <w:tcPr>
            <w:tcW w:w="960" w:type="dxa"/>
            <w:hideMark/>
          </w:tcPr>
          <w:p w14:paraId="1D8EA7B6" w14:textId="0E243B72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A0281A">
              <w:rPr>
                <w:color w:val="000000"/>
              </w:rPr>
              <w:t>5,</w:t>
            </w: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hideMark/>
          </w:tcPr>
          <w:p w14:paraId="04C4AC64" w14:textId="6AE3B16D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5,1</w:t>
            </w:r>
          </w:p>
        </w:tc>
        <w:tc>
          <w:tcPr>
            <w:tcW w:w="960" w:type="dxa"/>
            <w:hideMark/>
          </w:tcPr>
          <w:p w14:paraId="08161F72" w14:textId="3F3216B0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5,3</w:t>
            </w:r>
          </w:p>
        </w:tc>
        <w:tc>
          <w:tcPr>
            <w:tcW w:w="960" w:type="dxa"/>
            <w:noWrap/>
            <w:hideMark/>
          </w:tcPr>
          <w:p w14:paraId="53C104D8" w14:textId="778ADBBB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E91112" w:rsidRPr="00A7332E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91112" w:rsidRPr="00A7332E" w14:paraId="4A53F421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36F552A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BDP deflator (prethodna godina=100)</w:t>
            </w:r>
          </w:p>
        </w:tc>
        <w:tc>
          <w:tcPr>
            <w:tcW w:w="940" w:type="dxa"/>
            <w:hideMark/>
          </w:tcPr>
          <w:p w14:paraId="112323FF" w14:textId="1F95F4BF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10</w:t>
            </w:r>
            <w:r w:rsidR="00A66306">
              <w:rPr>
                <w:color w:val="000000"/>
              </w:rPr>
              <w:t>3,4</w:t>
            </w:r>
          </w:p>
        </w:tc>
        <w:tc>
          <w:tcPr>
            <w:tcW w:w="960" w:type="dxa"/>
            <w:hideMark/>
          </w:tcPr>
          <w:p w14:paraId="0C28AB4E" w14:textId="7E6E6A0C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</w:t>
            </w:r>
            <w:r w:rsidR="00A66306">
              <w:rPr>
                <w:color w:val="000000"/>
              </w:rPr>
              <w:t>05,7</w:t>
            </w:r>
          </w:p>
        </w:tc>
        <w:tc>
          <w:tcPr>
            <w:tcW w:w="960" w:type="dxa"/>
            <w:hideMark/>
          </w:tcPr>
          <w:p w14:paraId="0F40959F" w14:textId="680D5CD0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10</w:t>
            </w:r>
            <w:r w:rsidR="00A66306">
              <w:rPr>
                <w:color w:val="000000"/>
              </w:rPr>
              <w:t>3,7</w:t>
            </w:r>
          </w:p>
        </w:tc>
        <w:tc>
          <w:tcPr>
            <w:tcW w:w="960" w:type="dxa"/>
            <w:hideMark/>
          </w:tcPr>
          <w:p w14:paraId="3BB8B6C6" w14:textId="1AE97B08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10</w:t>
            </w:r>
            <w:r w:rsidR="00A66306">
              <w:rPr>
                <w:color w:val="000000"/>
              </w:rPr>
              <w:t>2,5</w:t>
            </w:r>
          </w:p>
        </w:tc>
        <w:tc>
          <w:tcPr>
            <w:tcW w:w="960" w:type="dxa"/>
            <w:hideMark/>
          </w:tcPr>
          <w:p w14:paraId="3848A4BE" w14:textId="03F8C753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10</w:t>
            </w:r>
            <w:r w:rsidR="00A66306">
              <w:rPr>
                <w:color w:val="000000"/>
              </w:rPr>
              <w:t>2,2</w:t>
            </w:r>
          </w:p>
        </w:tc>
        <w:tc>
          <w:tcPr>
            <w:tcW w:w="960" w:type="dxa"/>
            <w:noWrap/>
            <w:hideMark/>
          </w:tcPr>
          <w:p w14:paraId="55E4EC8E" w14:textId="0C15A45E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10</w:t>
            </w:r>
            <w:r w:rsidR="00A66306">
              <w:rPr>
                <w:rFonts w:ascii="Calibri" w:hAnsi="Calibri" w:cs="Calibri"/>
                <w:color w:val="000000"/>
              </w:rPr>
              <w:t>2,1</w:t>
            </w:r>
          </w:p>
        </w:tc>
      </w:tr>
      <w:tr w:rsidR="00E91112" w:rsidRPr="00A7332E" w14:paraId="7BD00E3B" w14:textId="77777777" w:rsidTr="00D8238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1C96916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Realni BDP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 (prethodna godina=100)</w:t>
            </w:r>
          </w:p>
        </w:tc>
        <w:tc>
          <w:tcPr>
            <w:tcW w:w="940" w:type="dxa"/>
            <w:hideMark/>
          </w:tcPr>
          <w:p w14:paraId="76D13553" w14:textId="7A66123D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53.300</w:t>
            </w:r>
          </w:p>
        </w:tc>
        <w:tc>
          <w:tcPr>
            <w:tcW w:w="960" w:type="dxa"/>
            <w:hideMark/>
          </w:tcPr>
          <w:p w14:paraId="52F7A42B" w14:textId="655B94AB" w:rsidR="00E91112" w:rsidRPr="00A7332E" w:rsidRDefault="00A0281A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66306">
              <w:rPr>
                <w:color w:val="000000"/>
              </w:rPr>
              <w:t>6.247</w:t>
            </w:r>
          </w:p>
        </w:tc>
        <w:tc>
          <w:tcPr>
            <w:tcW w:w="960" w:type="dxa"/>
            <w:hideMark/>
          </w:tcPr>
          <w:p w14:paraId="0161D892" w14:textId="718AA619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60.651</w:t>
            </w:r>
          </w:p>
        </w:tc>
        <w:tc>
          <w:tcPr>
            <w:tcW w:w="960" w:type="dxa"/>
            <w:hideMark/>
          </w:tcPr>
          <w:p w14:paraId="21BE0F70" w14:textId="6BC3FAD7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64.521</w:t>
            </w:r>
          </w:p>
        </w:tc>
        <w:tc>
          <w:tcPr>
            <w:tcW w:w="960" w:type="dxa"/>
            <w:hideMark/>
          </w:tcPr>
          <w:p w14:paraId="13631096" w14:textId="0DA13FF7" w:rsidR="00E91112" w:rsidRPr="00A7332E" w:rsidRDefault="00A0281A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66306">
              <w:rPr>
                <w:color w:val="000000"/>
              </w:rPr>
              <w:t>8.101</w:t>
            </w:r>
          </w:p>
        </w:tc>
        <w:tc>
          <w:tcPr>
            <w:tcW w:w="960" w:type="dxa"/>
            <w:noWrap/>
            <w:hideMark/>
          </w:tcPr>
          <w:p w14:paraId="5A8001C0" w14:textId="6E6CBFD6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71.987</w:t>
            </w:r>
          </w:p>
        </w:tc>
      </w:tr>
      <w:tr w:rsidR="00E91112" w:rsidRPr="00A7332E" w14:paraId="3EEC59F3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7BEF01B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730E339E" w14:textId="05E68039" w:rsidR="00E91112" w:rsidRPr="00A7332E" w:rsidRDefault="00A66306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960" w:type="dxa"/>
            <w:hideMark/>
          </w:tcPr>
          <w:p w14:paraId="02DF1F53" w14:textId="67C77F41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A66306">
              <w:rPr>
                <w:color w:val="000000"/>
              </w:rPr>
              <w:t>1</w:t>
            </w:r>
          </w:p>
        </w:tc>
        <w:tc>
          <w:tcPr>
            <w:tcW w:w="960" w:type="dxa"/>
            <w:hideMark/>
          </w:tcPr>
          <w:p w14:paraId="44C16E6C" w14:textId="1E532368" w:rsidR="00E91112" w:rsidRPr="00A7332E" w:rsidRDefault="00A66306" w:rsidP="00A66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91112" w:rsidRPr="00A7332E">
              <w:rPr>
                <w:color w:val="000000"/>
              </w:rPr>
              <w:t>2</w:t>
            </w:r>
          </w:p>
        </w:tc>
        <w:tc>
          <w:tcPr>
            <w:tcW w:w="960" w:type="dxa"/>
            <w:hideMark/>
          </w:tcPr>
          <w:p w14:paraId="4BB5F2B6" w14:textId="3F481988" w:rsidR="00E91112" w:rsidRPr="00A7332E" w:rsidRDefault="00A66306" w:rsidP="00A66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2,6</w:t>
            </w:r>
          </w:p>
        </w:tc>
        <w:tc>
          <w:tcPr>
            <w:tcW w:w="960" w:type="dxa"/>
            <w:hideMark/>
          </w:tcPr>
          <w:p w14:paraId="1E2D19EB" w14:textId="59ACBA7A" w:rsidR="00E91112" w:rsidRPr="00A7332E" w:rsidRDefault="00A66306" w:rsidP="00A663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E91112" w:rsidRPr="00A7332E">
              <w:rPr>
                <w:color w:val="000000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3481221" w14:textId="487B1946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3,</w:t>
            </w:r>
            <w:r w:rsidR="00A66306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91112" w:rsidRPr="00A7332E" w14:paraId="27C0FDA3" w14:textId="77777777" w:rsidTr="00D82381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0C439094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Inflacija mjerena indeksom </w:t>
            </w:r>
            <w:proofErr w:type="spellStart"/>
            <w:r w:rsidRPr="00A7332E">
              <w:rPr>
                <w:color w:val="000000"/>
              </w:rPr>
              <w:t>potroš</w:t>
            </w:r>
            <w:proofErr w:type="spellEnd"/>
            <w:r w:rsidRPr="00A7332E">
              <w:rPr>
                <w:color w:val="000000"/>
              </w:rPr>
              <w:t>. cijena u %</w:t>
            </w:r>
          </w:p>
        </w:tc>
        <w:tc>
          <w:tcPr>
            <w:tcW w:w="940" w:type="dxa"/>
            <w:hideMark/>
          </w:tcPr>
          <w:p w14:paraId="170E3451" w14:textId="0FB65D01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60" w:type="dxa"/>
            <w:hideMark/>
          </w:tcPr>
          <w:p w14:paraId="16F9C3E5" w14:textId="2EB1B968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 4</w:t>
            </w:r>
          </w:p>
        </w:tc>
        <w:tc>
          <w:tcPr>
            <w:tcW w:w="960" w:type="dxa"/>
            <w:hideMark/>
          </w:tcPr>
          <w:p w14:paraId="06DCF213" w14:textId="2808526E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4,1</w:t>
            </w:r>
          </w:p>
        </w:tc>
        <w:tc>
          <w:tcPr>
            <w:tcW w:w="960" w:type="dxa"/>
            <w:hideMark/>
          </w:tcPr>
          <w:p w14:paraId="653F7A1F" w14:textId="7E5390F0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91112" w:rsidRPr="00A7332E">
              <w:rPr>
                <w:color w:val="000000"/>
              </w:rPr>
              <w:t>2</w:t>
            </w:r>
            <w:r>
              <w:rPr>
                <w:color w:val="000000"/>
              </w:rPr>
              <w:t>,2</w:t>
            </w:r>
          </w:p>
        </w:tc>
        <w:tc>
          <w:tcPr>
            <w:tcW w:w="960" w:type="dxa"/>
            <w:hideMark/>
          </w:tcPr>
          <w:p w14:paraId="4F3CF271" w14:textId="1944B973" w:rsidR="00E91112" w:rsidRPr="00A7332E" w:rsidRDefault="00A66306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60" w:type="dxa"/>
            <w:noWrap/>
            <w:hideMark/>
          </w:tcPr>
          <w:p w14:paraId="702DCA91" w14:textId="54AE2864" w:rsidR="00E91112" w:rsidRPr="00A7332E" w:rsidRDefault="00A66306" w:rsidP="00A6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</w:t>
            </w:r>
          </w:p>
        </w:tc>
      </w:tr>
      <w:tr w:rsidR="00E91112" w:rsidRPr="00A7332E" w14:paraId="1582A574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1CF0B7D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Potrošnja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6EF899DE" w14:textId="0FE1188D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47.560</w:t>
            </w:r>
          </w:p>
        </w:tc>
        <w:tc>
          <w:tcPr>
            <w:tcW w:w="960" w:type="dxa"/>
            <w:hideMark/>
          </w:tcPr>
          <w:p w14:paraId="5233C339" w14:textId="4FE7736D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50.700</w:t>
            </w:r>
          </w:p>
        </w:tc>
        <w:tc>
          <w:tcPr>
            <w:tcW w:w="960" w:type="dxa"/>
            <w:hideMark/>
          </w:tcPr>
          <w:p w14:paraId="26D53900" w14:textId="09B7A143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53.459</w:t>
            </w:r>
          </w:p>
        </w:tc>
        <w:tc>
          <w:tcPr>
            <w:tcW w:w="960" w:type="dxa"/>
            <w:hideMark/>
          </w:tcPr>
          <w:p w14:paraId="5CF87FED" w14:textId="34FC85D3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56.068</w:t>
            </w:r>
          </w:p>
        </w:tc>
        <w:tc>
          <w:tcPr>
            <w:tcW w:w="960" w:type="dxa"/>
            <w:hideMark/>
          </w:tcPr>
          <w:p w14:paraId="44509983" w14:textId="211CE274" w:rsidR="00E91112" w:rsidRPr="00A7332E" w:rsidRDefault="00A0281A" w:rsidP="00A02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5334">
              <w:rPr>
                <w:color w:val="000000"/>
              </w:rPr>
              <w:t>8.546</w:t>
            </w:r>
          </w:p>
        </w:tc>
        <w:tc>
          <w:tcPr>
            <w:tcW w:w="960" w:type="dxa"/>
            <w:noWrap/>
            <w:hideMark/>
          </w:tcPr>
          <w:p w14:paraId="631E1E70" w14:textId="73BB35A4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61.292</w:t>
            </w:r>
          </w:p>
        </w:tc>
      </w:tr>
      <w:tr w:rsidR="00E91112" w:rsidRPr="00A7332E" w14:paraId="24560771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01202CB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5E0213AA" w14:textId="20E096CD" w:rsidR="00E91112" w:rsidRPr="00A7332E" w:rsidRDefault="00A0281A" w:rsidP="00A02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55334">
              <w:rPr>
                <w:color w:val="000000"/>
              </w:rPr>
              <w:t>4,1</w:t>
            </w:r>
          </w:p>
        </w:tc>
        <w:tc>
          <w:tcPr>
            <w:tcW w:w="960" w:type="dxa"/>
            <w:hideMark/>
          </w:tcPr>
          <w:p w14:paraId="10B94C82" w14:textId="434B5A99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A0281A">
              <w:rPr>
                <w:color w:val="000000"/>
              </w:rPr>
              <w:t>2,</w:t>
            </w: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hideMark/>
          </w:tcPr>
          <w:p w14:paraId="2FB8D259" w14:textId="4A02B0D6" w:rsidR="00E91112" w:rsidRPr="00A7332E" w:rsidRDefault="00A0281A" w:rsidP="00A02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55334">
              <w:rPr>
                <w:color w:val="000000"/>
              </w:rPr>
              <w:t>1,6</w:t>
            </w:r>
          </w:p>
        </w:tc>
        <w:tc>
          <w:tcPr>
            <w:tcW w:w="960" w:type="dxa"/>
            <w:hideMark/>
          </w:tcPr>
          <w:p w14:paraId="606A5FDF" w14:textId="3733B242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60" w:type="dxa"/>
            <w:hideMark/>
          </w:tcPr>
          <w:p w14:paraId="6BECC90C" w14:textId="010B6B13" w:rsidR="00E91112" w:rsidRPr="00A7332E" w:rsidRDefault="00455334" w:rsidP="00A02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A0281A">
              <w:rPr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5E9C5CC" w14:textId="16DA3F0B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</w:tr>
      <w:tr w:rsidR="00E91112" w:rsidRPr="00A7332E" w14:paraId="50E439DE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36835EC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Vladina potrošnja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1FE9573C" w14:textId="5CACD86E" w:rsidR="00E91112" w:rsidRPr="00A7332E" w:rsidRDefault="00A0281A" w:rsidP="00A02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55334">
              <w:rPr>
                <w:color w:val="000000"/>
              </w:rPr>
              <w:t>10.524</w:t>
            </w:r>
          </w:p>
        </w:tc>
        <w:tc>
          <w:tcPr>
            <w:tcW w:w="960" w:type="dxa"/>
            <w:hideMark/>
          </w:tcPr>
          <w:p w14:paraId="55C44AA0" w14:textId="55848FCC" w:rsidR="00E91112" w:rsidRPr="00A7332E" w:rsidRDefault="00A0281A" w:rsidP="00A02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1</w:t>
            </w:r>
            <w:r w:rsidR="00455334">
              <w:rPr>
                <w:color w:val="000000"/>
              </w:rPr>
              <w:t>1.471</w:t>
            </w:r>
          </w:p>
        </w:tc>
        <w:tc>
          <w:tcPr>
            <w:tcW w:w="960" w:type="dxa"/>
            <w:hideMark/>
          </w:tcPr>
          <w:p w14:paraId="666FADF2" w14:textId="234D3366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55334">
              <w:rPr>
                <w:color w:val="000000"/>
              </w:rPr>
              <w:t>1.896</w:t>
            </w:r>
          </w:p>
        </w:tc>
        <w:tc>
          <w:tcPr>
            <w:tcW w:w="960" w:type="dxa"/>
            <w:hideMark/>
          </w:tcPr>
          <w:p w14:paraId="6571043D" w14:textId="0A0EB0A9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55334">
              <w:rPr>
                <w:color w:val="000000"/>
              </w:rPr>
              <w:t>2.729</w:t>
            </w:r>
          </w:p>
        </w:tc>
        <w:tc>
          <w:tcPr>
            <w:tcW w:w="960" w:type="dxa"/>
            <w:hideMark/>
          </w:tcPr>
          <w:p w14:paraId="3BBC8482" w14:textId="003BA9AE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55334">
              <w:rPr>
                <w:color w:val="000000"/>
              </w:rPr>
              <w:t>3.518</w:t>
            </w:r>
          </w:p>
        </w:tc>
        <w:tc>
          <w:tcPr>
            <w:tcW w:w="960" w:type="dxa"/>
            <w:noWrap/>
            <w:hideMark/>
          </w:tcPr>
          <w:p w14:paraId="4A343BBA" w14:textId="6C38E80C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1</w:t>
            </w:r>
            <w:r w:rsidR="00455334">
              <w:rPr>
                <w:rFonts w:ascii="Calibri" w:hAnsi="Calibri" w:cs="Calibri"/>
                <w:color w:val="000000"/>
              </w:rPr>
              <w:t>4.329</w:t>
            </w:r>
          </w:p>
        </w:tc>
      </w:tr>
      <w:tr w:rsidR="00E91112" w:rsidRPr="00A7332E" w14:paraId="3FAEED5B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E8CD7AF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5C3B2CD7" w14:textId="7DDF7293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A0281A">
              <w:rPr>
                <w:color w:val="000000"/>
              </w:rPr>
              <w:t>2,</w:t>
            </w: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hideMark/>
          </w:tcPr>
          <w:p w14:paraId="65340CE5" w14:textId="6FBE0688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A0281A">
              <w:rPr>
                <w:color w:val="000000"/>
              </w:rPr>
              <w:t>2,</w:t>
            </w:r>
            <w:r>
              <w:rPr>
                <w:color w:val="000000"/>
              </w:rPr>
              <w:t>8</w:t>
            </w:r>
          </w:p>
        </w:tc>
        <w:tc>
          <w:tcPr>
            <w:tcW w:w="960" w:type="dxa"/>
            <w:hideMark/>
          </w:tcPr>
          <w:p w14:paraId="18DF9066" w14:textId="3A30A0B5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2,2</w:t>
            </w:r>
          </w:p>
        </w:tc>
        <w:tc>
          <w:tcPr>
            <w:tcW w:w="960" w:type="dxa"/>
            <w:hideMark/>
          </w:tcPr>
          <w:p w14:paraId="53B35F69" w14:textId="3BFF9280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E91112" w:rsidRPr="00A7332E">
              <w:rPr>
                <w:color w:val="000000"/>
              </w:rPr>
              <w:t>1</w:t>
            </w:r>
            <w:r w:rsidR="00A0281A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hideMark/>
          </w:tcPr>
          <w:p w14:paraId="23602E7D" w14:textId="433CEB26" w:rsidR="00E91112" w:rsidRPr="00A7332E" w:rsidRDefault="00A0281A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91112" w:rsidRPr="00A7332E">
              <w:rPr>
                <w:color w:val="000000"/>
              </w:rPr>
              <w:t>,1</w:t>
            </w:r>
          </w:p>
        </w:tc>
        <w:tc>
          <w:tcPr>
            <w:tcW w:w="960" w:type="dxa"/>
            <w:noWrap/>
            <w:hideMark/>
          </w:tcPr>
          <w:p w14:paraId="3BE4481A" w14:textId="6CE801BA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1,</w:t>
            </w:r>
            <w:r w:rsidR="00455334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91112" w:rsidRPr="00A7332E" w14:paraId="713BF0D9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4D482B8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Privatna potrošnja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57A78B55" w14:textId="25DA8313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3</w:t>
            </w:r>
            <w:r w:rsidR="00455334">
              <w:rPr>
                <w:color w:val="000000"/>
              </w:rPr>
              <w:t>7.036</w:t>
            </w:r>
          </w:p>
        </w:tc>
        <w:tc>
          <w:tcPr>
            <w:tcW w:w="960" w:type="dxa"/>
            <w:hideMark/>
          </w:tcPr>
          <w:p w14:paraId="51992873" w14:textId="2D491073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39.229</w:t>
            </w:r>
          </w:p>
        </w:tc>
        <w:tc>
          <w:tcPr>
            <w:tcW w:w="960" w:type="dxa"/>
            <w:hideMark/>
          </w:tcPr>
          <w:p w14:paraId="7BB1A52E" w14:textId="0D6FCF44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41.563</w:t>
            </w:r>
          </w:p>
        </w:tc>
        <w:tc>
          <w:tcPr>
            <w:tcW w:w="960" w:type="dxa"/>
            <w:hideMark/>
          </w:tcPr>
          <w:p w14:paraId="691ADB02" w14:textId="16EA1612" w:rsidR="00E91112" w:rsidRPr="00A7332E" w:rsidRDefault="00455334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43.340</w:t>
            </w:r>
          </w:p>
        </w:tc>
        <w:tc>
          <w:tcPr>
            <w:tcW w:w="960" w:type="dxa"/>
            <w:hideMark/>
          </w:tcPr>
          <w:p w14:paraId="4650BAF6" w14:textId="6A35D625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55334">
              <w:rPr>
                <w:color w:val="000000"/>
              </w:rPr>
              <w:t>5.028</w:t>
            </w:r>
          </w:p>
        </w:tc>
        <w:tc>
          <w:tcPr>
            <w:tcW w:w="960" w:type="dxa"/>
            <w:noWrap/>
            <w:hideMark/>
          </w:tcPr>
          <w:p w14:paraId="2221440A" w14:textId="63F8CE40" w:rsidR="00E91112" w:rsidRPr="00A7332E" w:rsidRDefault="00A0281A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55334">
              <w:rPr>
                <w:rFonts w:ascii="Calibri" w:hAnsi="Calibri" w:cs="Calibri"/>
                <w:color w:val="000000"/>
              </w:rPr>
              <w:t>6.963</w:t>
            </w:r>
          </w:p>
        </w:tc>
      </w:tr>
      <w:tr w:rsidR="00E91112" w:rsidRPr="00A7332E" w14:paraId="58E11D7D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23939E09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712273A4" w14:textId="7BCA79E4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960" w:type="dxa"/>
            <w:hideMark/>
          </w:tcPr>
          <w:p w14:paraId="51BB5982" w14:textId="4504B044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A0281A">
              <w:rPr>
                <w:color w:val="000000"/>
              </w:rPr>
              <w:t>2</w:t>
            </w:r>
          </w:p>
        </w:tc>
        <w:tc>
          <w:tcPr>
            <w:tcW w:w="960" w:type="dxa"/>
            <w:hideMark/>
          </w:tcPr>
          <w:p w14:paraId="1B659EAE" w14:textId="359B5702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960" w:type="dxa"/>
            <w:hideMark/>
          </w:tcPr>
          <w:p w14:paraId="24853382" w14:textId="68A7A3CF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60" w:type="dxa"/>
            <w:hideMark/>
          </w:tcPr>
          <w:p w14:paraId="2515C1D8" w14:textId="632C6C56" w:rsidR="00E91112" w:rsidRPr="00A7332E" w:rsidRDefault="00455334" w:rsidP="00455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E91112" w:rsidRPr="00A7332E">
              <w:rPr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EBA371C" w14:textId="238FD867" w:rsidR="00E91112" w:rsidRPr="00A7332E" w:rsidRDefault="00455334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</w:tr>
      <w:tr w:rsidR="00E91112" w:rsidRPr="00A7332E" w14:paraId="0B6300AA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4F3528F7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Investicije (bruto) u stalna sredstva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45715C6E" w14:textId="63754284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13.097</w:t>
            </w:r>
          </w:p>
        </w:tc>
        <w:tc>
          <w:tcPr>
            <w:tcW w:w="960" w:type="dxa"/>
            <w:hideMark/>
          </w:tcPr>
          <w:p w14:paraId="28F3B37E" w14:textId="7F27D035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14.194</w:t>
            </w:r>
          </w:p>
        </w:tc>
        <w:tc>
          <w:tcPr>
            <w:tcW w:w="960" w:type="dxa"/>
            <w:hideMark/>
          </w:tcPr>
          <w:p w14:paraId="28399FD9" w14:textId="33DE1077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14.194</w:t>
            </w:r>
          </w:p>
        </w:tc>
        <w:tc>
          <w:tcPr>
            <w:tcW w:w="960" w:type="dxa"/>
            <w:hideMark/>
          </w:tcPr>
          <w:p w14:paraId="45B60EB7" w14:textId="611C9FF9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16.024</w:t>
            </w:r>
          </w:p>
        </w:tc>
        <w:tc>
          <w:tcPr>
            <w:tcW w:w="960" w:type="dxa"/>
            <w:hideMark/>
          </w:tcPr>
          <w:p w14:paraId="745F55DF" w14:textId="373E1744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17.154</w:t>
            </w:r>
          </w:p>
        </w:tc>
        <w:tc>
          <w:tcPr>
            <w:tcW w:w="960" w:type="dxa"/>
            <w:noWrap/>
            <w:hideMark/>
          </w:tcPr>
          <w:p w14:paraId="086E5296" w14:textId="740E7F7E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18.395</w:t>
            </w:r>
          </w:p>
        </w:tc>
      </w:tr>
      <w:tr w:rsidR="00E91112" w:rsidRPr="00A7332E" w14:paraId="167EC4E4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01D27C3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298B51E9" w14:textId="46BBE033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960" w:type="dxa"/>
            <w:hideMark/>
          </w:tcPr>
          <w:p w14:paraId="60D22B0A" w14:textId="1C5C14ED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960" w:type="dxa"/>
            <w:hideMark/>
          </w:tcPr>
          <w:p w14:paraId="79C9FED6" w14:textId="432AFE5B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960" w:type="dxa"/>
            <w:hideMark/>
          </w:tcPr>
          <w:p w14:paraId="554260A3" w14:textId="7FB414A6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960" w:type="dxa"/>
            <w:hideMark/>
          </w:tcPr>
          <w:p w14:paraId="6E8221A8" w14:textId="5C838232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60" w:type="dxa"/>
            <w:noWrap/>
            <w:hideMark/>
          </w:tcPr>
          <w:p w14:paraId="11521F13" w14:textId="2EC78185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455334">
              <w:rPr>
                <w:rFonts w:ascii="Calibri" w:hAnsi="Calibri" w:cs="Calibri"/>
                <w:color w:val="000000"/>
              </w:rPr>
              <w:t>,7</w:t>
            </w:r>
          </w:p>
        </w:tc>
      </w:tr>
      <w:tr w:rsidR="00E91112" w:rsidRPr="00A7332E" w14:paraId="17B05CBC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8542005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Vladine investicije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6E5D1457" w14:textId="0CD95D6A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1.831</w:t>
            </w:r>
          </w:p>
        </w:tc>
        <w:tc>
          <w:tcPr>
            <w:tcW w:w="960" w:type="dxa"/>
            <w:hideMark/>
          </w:tcPr>
          <w:p w14:paraId="03E2341D" w14:textId="3C41CCBE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2.106</w:t>
            </w:r>
          </w:p>
        </w:tc>
        <w:tc>
          <w:tcPr>
            <w:tcW w:w="960" w:type="dxa"/>
            <w:hideMark/>
          </w:tcPr>
          <w:p w14:paraId="17F5DC3C" w14:textId="38484063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2.306</w:t>
            </w:r>
          </w:p>
        </w:tc>
        <w:tc>
          <w:tcPr>
            <w:tcW w:w="960" w:type="dxa"/>
            <w:hideMark/>
          </w:tcPr>
          <w:p w14:paraId="4E0E96E7" w14:textId="49172B04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2.520</w:t>
            </w:r>
          </w:p>
        </w:tc>
        <w:tc>
          <w:tcPr>
            <w:tcW w:w="960" w:type="dxa"/>
            <w:hideMark/>
          </w:tcPr>
          <w:p w14:paraId="20C00319" w14:textId="3F8DB319" w:rsidR="00E91112" w:rsidRPr="00A7332E" w:rsidRDefault="003F582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907E75">
              <w:rPr>
                <w:color w:val="000000"/>
              </w:rPr>
              <w:t>772</w:t>
            </w:r>
          </w:p>
        </w:tc>
        <w:tc>
          <w:tcPr>
            <w:tcW w:w="960" w:type="dxa"/>
            <w:noWrap/>
            <w:hideMark/>
          </w:tcPr>
          <w:p w14:paraId="01438E22" w14:textId="700EE6B5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3.049</w:t>
            </w:r>
          </w:p>
        </w:tc>
      </w:tr>
      <w:tr w:rsidR="00E91112" w:rsidRPr="00A7332E" w14:paraId="4DAE79A9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63E25C7B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7E02CB43" w14:textId="3CC7ADEC" w:rsidR="00E91112" w:rsidRPr="00A7332E" w:rsidRDefault="003F582B" w:rsidP="003F5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907E75">
              <w:rPr>
                <w:color w:val="000000"/>
              </w:rPr>
              <w:t>16,9</w:t>
            </w:r>
          </w:p>
        </w:tc>
        <w:tc>
          <w:tcPr>
            <w:tcW w:w="960" w:type="dxa"/>
            <w:hideMark/>
          </w:tcPr>
          <w:p w14:paraId="4C3CB323" w14:textId="4F7545CC" w:rsidR="00E91112" w:rsidRPr="00A7332E" w:rsidRDefault="003F582B" w:rsidP="003F5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907E75">
              <w:rPr>
                <w:color w:val="000000"/>
              </w:rPr>
              <w:t>11</w:t>
            </w:r>
            <w:r>
              <w:rPr>
                <w:color w:val="000000"/>
              </w:rPr>
              <w:t>,7</w:t>
            </w:r>
          </w:p>
        </w:tc>
        <w:tc>
          <w:tcPr>
            <w:tcW w:w="960" w:type="dxa"/>
            <w:hideMark/>
          </w:tcPr>
          <w:p w14:paraId="4FB131D6" w14:textId="7AA3D886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60" w:type="dxa"/>
            <w:hideMark/>
          </w:tcPr>
          <w:p w14:paraId="5BD1BCB3" w14:textId="466D4143" w:rsidR="00E91112" w:rsidRPr="00A7332E" w:rsidRDefault="003F582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907E75">
              <w:rPr>
                <w:color w:val="000000"/>
              </w:rPr>
              <w:t>4</w:t>
            </w:r>
          </w:p>
        </w:tc>
        <w:tc>
          <w:tcPr>
            <w:tcW w:w="960" w:type="dxa"/>
            <w:hideMark/>
          </w:tcPr>
          <w:p w14:paraId="184116B1" w14:textId="40D8C8D9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60" w:type="dxa"/>
            <w:noWrap/>
            <w:hideMark/>
          </w:tcPr>
          <w:p w14:paraId="14103ADA" w14:textId="337AA880" w:rsidR="00E91112" w:rsidRPr="00A7332E" w:rsidRDefault="003F582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</w:t>
            </w:r>
          </w:p>
        </w:tc>
      </w:tr>
      <w:tr w:rsidR="00E91112" w:rsidRPr="00A7332E" w14:paraId="63287855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97E38A3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Privatne investicije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3A4FA2CD" w14:textId="355C774F" w:rsidR="00E91112" w:rsidRPr="00A7332E" w:rsidRDefault="003F582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7E75">
              <w:rPr>
                <w:color w:val="000000"/>
              </w:rPr>
              <w:t>1.266</w:t>
            </w:r>
          </w:p>
        </w:tc>
        <w:tc>
          <w:tcPr>
            <w:tcW w:w="960" w:type="dxa"/>
            <w:hideMark/>
          </w:tcPr>
          <w:p w14:paraId="1C25674B" w14:textId="5A2C97CC" w:rsidR="00E91112" w:rsidRPr="00A7332E" w:rsidRDefault="003F582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7E75">
              <w:rPr>
                <w:color w:val="000000"/>
              </w:rPr>
              <w:t>2.088</w:t>
            </w:r>
          </w:p>
        </w:tc>
        <w:tc>
          <w:tcPr>
            <w:tcW w:w="960" w:type="dxa"/>
            <w:hideMark/>
          </w:tcPr>
          <w:p w14:paraId="61F87366" w14:textId="593E3BBE" w:rsidR="00E91112" w:rsidRPr="00A7332E" w:rsidRDefault="003F582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7E75">
              <w:rPr>
                <w:color w:val="000000"/>
              </w:rPr>
              <w:t>2.656</w:t>
            </w:r>
          </w:p>
        </w:tc>
        <w:tc>
          <w:tcPr>
            <w:tcW w:w="960" w:type="dxa"/>
            <w:hideMark/>
          </w:tcPr>
          <w:p w14:paraId="136FF104" w14:textId="34D6B4ED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13.560</w:t>
            </w:r>
          </w:p>
        </w:tc>
        <w:tc>
          <w:tcPr>
            <w:tcW w:w="960" w:type="dxa"/>
            <w:hideMark/>
          </w:tcPr>
          <w:p w14:paraId="487DDB94" w14:textId="56A6C487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1</w:t>
            </w:r>
            <w:r w:rsidR="00907E75">
              <w:rPr>
                <w:color w:val="000000"/>
              </w:rPr>
              <w:t>4.382</w:t>
            </w:r>
          </w:p>
        </w:tc>
        <w:tc>
          <w:tcPr>
            <w:tcW w:w="960" w:type="dxa"/>
            <w:noWrap/>
            <w:hideMark/>
          </w:tcPr>
          <w:p w14:paraId="1F5D8E4A" w14:textId="5C9F1967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1</w:t>
            </w:r>
            <w:r w:rsidR="00907E75">
              <w:rPr>
                <w:rFonts w:ascii="Calibri" w:hAnsi="Calibri" w:cs="Calibri"/>
                <w:color w:val="000000"/>
              </w:rPr>
              <w:t>5.346</w:t>
            </w:r>
          </w:p>
        </w:tc>
      </w:tr>
      <w:tr w:rsidR="00E91112" w:rsidRPr="00A7332E" w14:paraId="5065115F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229D51B6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08547E20" w14:textId="7121468C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960" w:type="dxa"/>
            <w:hideMark/>
          </w:tcPr>
          <w:p w14:paraId="2C773E49" w14:textId="53C3C542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960" w:type="dxa"/>
            <w:hideMark/>
          </w:tcPr>
          <w:p w14:paraId="759D33E2" w14:textId="7BB06AA3" w:rsidR="00E91112" w:rsidRPr="00A7332E" w:rsidRDefault="00907E75" w:rsidP="003F5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960" w:type="dxa"/>
            <w:hideMark/>
          </w:tcPr>
          <w:p w14:paraId="2ADC5C3D" w14:textId="7BFF4121" w:rsidR="00E91112" w:rsidRPr="00A7332E" w:rsidRDefault="00907E75" w:rsidP="00907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  5</w:t>
            </w:r>
          </w:p>
        </w:tc>
        <w:tc>
          <w:tcPr>
            <w:tcW w:w="960" w:type="dxa"/>
            <w:hideMark/>
          </w:tcPr>
          <w:p w14:paraId="62CB62CE" w14:textId="66FAA769" w:rsidR="00E91112" w:rsidRPr="00A7332E" w:rsidRDefault="003F582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907E75">
              <w:rPr>
                <w:color w:val="000000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F9A6017" w14:textId="34E7686B" w:rsidR="00E91112" w:rsidRPr="00A7332E" w:rsidRDefault="003F582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</w:t>
            </w:r>
            <w:r w:rsidR="00907E75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E91112" w:rsidRPr="00A7332E" w14:paraId="37E0DC8B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0583A22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Uvoz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63BB1546" w14:textId="1B975E2F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</w:t>
            </w:r>
            <w:r w:rsidR="00907E75">
              <w:rPr>
                <w:color w:val="000000"/>
              </w:rPr>
              <w:t>9.057</w:t>
            </w:r>
          </w:p>
        </w:tc>
        <w:tc>
          <w:tcPr>
            <w:tcW w:w="960" w:type="dxa"/>
            <w:hideMark/>
          </w:tcPr>
          <w:p w14:paraId="1B2BFFFD" w14:textId="7BFF96EF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30.602</w:t>
            </w:r>
          </w:p>
        </w:tc>
        <w:tc>
          <w:tcPr>
            <w:tcW w:w="960" w:type="dxa"/>
            <w:hideMark/>
          </w:tcPr>
          <w:p w14:paraId="0208536C" w14:textId="37AF8DF4" w:rsidR="00E91112" w:rsidRPr="00A7332E" w:rsidRDefault="003F582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07E75">
              <w:rPr>
                <w:color w:val="000000"/>
              </w:rPr>
              <w:t>1.878</w:t>
            </w:r>
          </w:p>
        </w:tc>
        <w:tc>
          <w:tcPr>
            <w:tcW w:w="960" w:type="dxa"/>
            <w:hideMark/>
          </w:tcPr>
          <w:p w14:paraId="147506CA" w14:textId="13255E33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3</w:t>
            </w:r>
            <w:r w:rsidR="00907E75">
              <w:rPr>
                <w:color w:val="000000"/>
              </w:rPr>
              <w:t>3.548</w:t>
            </w:r>
          </w:p>
        </w:tc>
        <w:tc>
          <w:tcPr>
            <w:tcW w:w="960" w:type="dxa"/>
            <w:hideMark/>
          </w:tcPr>
          <w:p w14:paraId="689241D5" w14:textId="40D64F27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3</w:t>
            </w:r>
            <w:r w:rsidR="00907E75">
              <w:rPr>
                <w:color w:val="000000"/>
              </w:rPr>
              <w:t>5.429</w:t>
            </w:r>
          </w:p>
        </w:tc>
        <w:tc>
          <w:tcPr>
            <w:tcW w:w="960" w:type="dxa"/>
            <w:noWrap/>
            <w:hideMark/>
          </w:tcPr>
          <w:p w14:paraId="4DF4800A" w14:textId="2B126ED5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3</w:t>
            </w:r>
            <w:r w:rsidR="00907E75">
              <w:rPr>
                <w:rFonts w:ascii="Calibri" w:hAnsi="Calibri" w:cs="Calibri"/>
                <w:color w:val="000000"/>
              </w:rPr>
              <w:t>7.416</w:t>
            </w:r>
          </w:p>
        </w:tc>
      </w:tr>
      <w:tr w:rsidR="00E91112" w:rsidRPr="00A7332E" w14:paraId="79844699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4879A354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Nominalni rast u %</w:t>
            </w:r>
          </w:p>
        </w:tc>
        <w:tc>
          <w:tcPr>
            <w:tcW w:w="940" w:type="dxa"/>
            <w:hideMark/>
          </w:tcPr>
          <w:p w14:paraId="7D7B9764" w14:textId="3D6F3632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60" w:type="dxa"/>
            <w:hideMark/>
          </w:tcPr>
          <w:p w14:paraId="096BDB48" w14:textId="7FDA096F" w:rsidR="00E91112" w:rsidRPr="00A7332E" w:rsidRDefault="003F582B" w:rsidP="003F5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907E75">
              <w:rPr>
                <w:color w:val="000000"/>
              </w:rPr>
              <w:t>5,3</w:t>
            </w:r>
          </w:p>
        </w:tc>
        <w:tc>
          <w:tcPr>
            <w:tcW w:w="960" w:type="dxa"/>
            <w:hideMark/>
          </w:tcPr>
          <w:p w14:paraId="09C807B1" w14:textId="5A14DA7E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960" w:type="dxa"/>
            <w:hideMark/>
          </w:tcPr>
          <w:p w14:paraId="59DBBD0F" w14:textId="71064E79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71ECB">
              <w:rPr>
                <w:color w:val="000000"/>
              </w:rPr>
              <w:t>,2</w:t>
            </w:r>
          </w:p>
        </w:tc>
        <w:tc>
          <w:tcPr>
            <w:tcW w:w="960" w:type="dxa"/>
            <w:hideMark/>
          </w:tcPr>
          <w:p w14:paraId="5DF0C549" w14:textId="27F83CAF" w:rsidR="00E91112" w:rsidRPr="00A7332E" w:rsidRDefault="00971EC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907E75">
              <w:rPr>
                <w:color w:val="00000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78CD5D61" w14:textId="2BF27E1C" w:rsidR="00E91112" w:rsidRPr="00A7332E" w:rsidRDefault="00971EC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</w:t>
            </w:r>
            <w:r w:rsidR="00907E75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E91112" w:rsidRPr="00A7332E" w14:paraId="14E98E84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62955F3B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177339D2" w14:textId="64DB550A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960" w:type="dxa"/>
            <w:hideMark/>
          </w:tcPr>
          <w:p w14:paraId="3A7DE988" w14:textId="6E4CCC9B" w:rsidR="00E91112" w:rsidRPr="00A7332E" w:rsidRDefault="00907E75" w:rsidP="00971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5,2</w:t>
            </w:r>
          </w:p>
        </w:tc>
        <w:tc>
          <w:tcPr>
            <w:tcW w:w="960" w:type="dxa"/>
            <w:hideMark/>
          </w:tcPr>
          <w:p w14:paraId="0B74E1BF" w14:textId="5674EC71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91112" w:rsidRPr="00A7332E">
              <w:rPr>
                <w:color w:val="000000"/>
              </w:rPr>
              <w:t>,</w:t>
            </w:r>
            <w:r w:rsidR="00971ECB">
              <w:rPr>
                <w:color w:val="000000"/>
              </w:rPr>
              <w:t>6</w:t>
            </w:r>
          </w:p>
        </w:tc>
        <w:tc>
          <w:tcPr>
            <w:tcW w:w="960" w:type="dxa"/>
            <w:hideMark/>
          </w:tcPr>
          <w:p w14:paraId="1E051FF9" w14:textId="4343E667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960" w:type="dxa"/>
            <w:hideMark/>
          </w:tcPr>
          <w:p w14:paraId="45A86727" w14:textId="71450C2E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960" w:type="dxa"/>
            <w:noWrap/>
            <w:hideMark/>
          </w:tcPr>
          <w:p w14:paraId="688A18E2" w14:textId="65BE306F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</w:tr>
      <w:tr w:rsidR="00E91112" w:rsidRPr="00A7332E" w14:paraId="7C7110B4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F0D0D75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 xml:space="preserve">Izvoz u </w:t>
            </w:r>
            <w:proofErr w:type="spellStart"/>
            <w:r w:rsidRPr="00A7332E">
              <w:rPr>
                <w:color w:val="000000"/>
              </w:rPr>
              <w:t>mil</w:t>
            </w:r>
            <w:proofErr w:type="spellEnd"/>
            <w:r w:rsidRPr="00A7332E">
              <w:rPr>
                <w:color w:val="000000"/>
              </w:rPr>
              <w:t xml:space="preserve"> KM</w:t>
            </w:r>
          </w:p>
        </w:tc>
        <w:tc>
          <w:tcPr>
            <w:tcW w:w="940" w:type="dxa"/>
            <w:hideMark/>
          </w:tcPr>
          <w:p w14:paraId="12CA217D" w14:textId="7AC30CCF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21.</w:t>
            </w:r>
            <w:r w:rsidR="00907E75">
              <w:rPr>
                <w:color w:val="000000"/>
              </w:rPr>
              <w:t>879</w:t>
            </w:r>
          </w:p>
        </w:tc>
        <w:tc>
          <w:tcPr>
            <w:tcW w:w="960" w:type="dxa"/>
            <w:hideMark/>
          </w:tcPr>
          <w:p w14:paraId="6F738609" w14:textId="453D702F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</w:t>
            </w:r>
            <w:r w:rsidR="00907E75">
              <w:rPr>
                <w:color w:val="000000"/>
              </w:rPr>
              <w:t>3.133</w:t>
            </w:r>
          </w:p>
        </w:tc>
        <w:tc>
          <w:tcPr>
            <w:tcW w:w="960" w:type="dxa"/>
            <w:hideMark/>
          </w:tcPr>
          <w:p w14:paraId="3DE9E801" w14:textId="5EA0FE8A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</w:t>
            </w:r>
            <w:r w:rsidR="00907E75">
              <w:rPr>
                <w:color w:val="000000"/>
              </w:rPr>
              <w:t>4.033</w:t>
            </w:r>
          </w:p>
        </w:tc>
        <w:tc>
          <w:tcPr>
            <w:tcW w:w="960" w:type="dxa"/>
            <w:hideMark/>
          </w:tcPr>
          <w:p w14:paraId="51763505" w14:textId="5AD01128" w:rsidR="00E91112" w:rsidRPr="00A7332E" w:rsidRDefault="00971EC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07E75">
              <w:rPr>
                <w:color w:val="000000"/>
              </w:rPr>
              <w:t>5.177</w:t>
            </w:r>
          </w:p>
        </w:tc>
        <w:tc>
          <w:tcPr>
            <w:tcW w:w="960" w:type="dxa"/>
            <w:hideMark/>
          </w:tcPr>
          <w:p w14:paraId="3EDCE5AC" w14:textId="36827768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</w:t>
            </w:r>
            <w:r w:rsidR="00907E75">
              <w:rPr>
                <w:color w:val="000000"/>
              </w:rPr>
              <w:t>6.640</w:t>
            </w:r>
          </w:p>
        </w:tc>
        <w:tc>
          <w:tcPr>
            <w:tcW w:w="960" w:type="dxa"/>
            <w:noWrap/>
            <w:hideMark/>
          </w:tcPr>
          <w:p w14:paraId="3B63BDB1" w14:textId="3D8F84DA" w:rsidR="00E91112" w:rsidRPr="00A7332E" w:rsidRDefault="00971EC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07E75">
              <w:rPr>
                <w:rFonts w:ascii="Calibri" w:hAnsi="Calibri" w:cs="Calibri"/>
                <w:color w:val="000000"/>
              </w:rPr>
              <w:t>8.188</w:t>
            </w:r>
          </w:p>
        </w:tc>
      </w:tr>
      <w:tr w:rsidR="00E91112" w:rsidRPr="00A7332E" w14:paraId="321764CE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89ACEB1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Nominalni rast u %</w:t>
            </w:r>
          </w:p>
        </w:tc>
        <w:tc>
          <w:tcPr>
            <w:tcW w:w="940" w:type="dxa"/>
            <w:hideMark/>
          </w:tcPr>
          <w:p w14:paraId="05F8152D" w14:textId="01DFC6CD" w:rsidR="00E91112" w:rsidRPr="00A7332E" w:rsidRDefault="00971EC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-0,</w:t>
            </w:r>
            <w:r w:rsidR="00907E75">
              <w:rPr>
                <w:color w:val="000000"/>
              </w:rPr>
              <w:t>2</w:t>
            </w:r>
          </w:p>
        </w:tc>
        <w:tc>
          <w:tcPr>
            <w:tcW w:w="960" w:type="dxa"/>
            <w:hideMark/>
          </w:tcPr>
          <w:p w14:paraId="19510DA8" w14:textId="4E2A0154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960" w:type="dxa"/>
            <w:hideMark/>
          </w:tcPr>
          <w:p w14:paraId="5585A33F" w14:textId="6C3BDCC5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960" w:type="dxa"/>
            <w:hideMark/>
          </w:tcPr>
          <w:p w14:paraId="02D49117" w14:textId="19CC240F" w:rsidR="00E91112" w:rsidRPr="00A7332E" w:rsidRDefault="00971EC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907E75">
              <w:rPr>
                <w:color w:val="000000"/>
              </w:rPr>
              <w:t>8</w:t>
            </w:r>
          </w:p>
        </w:tc>
        <w:tc>
          <w:tcPr>
            <w:tcW w:w="960" w:type="dxa"/>
            <w:hideMark/>
          </w:tcPr>
          <w:p w14:paraId="2FCED3BB" w14:textId="203B3B5A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960" w:type="dxa"/>
            <w:noWrap/>
            <w:hideMark/>
          </w:tcPr>
          <w:p w14:paraId="2C9D8581" w14:textId="67629ACF" w:rsidR="00E91112" w:rsidRPr="00A7332E" w:rsidRDefault="00907E75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</w:tr>
      <w:tr w:rsidR="00E91112" w:rsidRPr="00A7332E" w14:paraId="49E572F3" w14:textId="77777777" w:rsidTr="00D823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4682FC7E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Realni rast u %</w:t>
            </w:r>
          </w:p>
        </w:tc>
        <w:tc>
          <w:tcPr>
            <w:tcW w:w="940" w:type="dxa"/>
            <w:hideMark/>
          </w:tcPr>
          <w:p w14:paraId="2A1D3675" w14:textId="5C8E2EC9" w:rsidR="00E91112" w:rsidRPr="00A7332E" w:rsidRDefault="00971ECB" w:rsidP="00971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-1,</w:t>
            </w:r>
            <w:r w:rsidR="00907E75">
              <w:rPr>
                <w:color w:val="000000"/>
              </w:rPr>
              <w:t>6</w:t>
            </w:r>
          </w:p>
        </w:tc>
        <w:tc>
          <w:tcPr>
            <w:tcW w:w="960" w:type="dxa"/>
            <w:hideMark/>
          </w:tcPr>
          <w:p w14:paraId="3DBEE153" w14:textId="32E7F224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71ECB">
              <w:rPr>
                <w:color w:val="000000"/>
              </w:rPr>
              <w:t>,6</w:t>
            </w:r>
          </w:p>
        </w:tc>
        <w:tc>
          <w:tcPr>
            <w:tcW w:w="960" w:type="dxa"/>
            <w:hideMark/>
          </w:tcPr>
          <w:p w14:paraId="5ED6F72E" w14:textId="013A3962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960" w:type="dxa"/>
            <w:hideMark/>
          </w:tcPr>
          <w:p w14:paraId="77D58B3B" w14:textId="41209BE9" w:rsidR="00E91112" w:rsidRPr="00A7332E" w:rsidRDefault="00907E75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960" w:type="dxa"/>
            <w:hideMark/>
          </w:tcPr>
          <w:p w14:paraId="564B495F" w14:textId="5B0FF3A4" w:rsidR="00E91112" w:rsidRPr="00A7332E" w:rsidRDefault="00971ECB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ED7960">
              <w:rPr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14AB3EE" w14:textId="1F1934FA" w:rsidR="00E91112" w:rsidRPr="00A7332E" w:rsidRDefault="00ED7960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</w:tr>
      <w:tr w:rsidR="00E91112" w:rsidRPr="00A7332E" w14:paraId="5AA7E1D6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0277A4AE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t>Nacionalna bruto štednja u % BDP-a</w:t>
            </w:r>
          </w:p>
        </w:tc>
        <w:tc>
          <w:tcPr>
            <w:tcW w:w="940" w:type="dxa"/>
            <w:hideMark/>
          </w:tcPr>
          <w:p w14:paraId="42F556DE" w14:textId="4056AFCF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23,</w:t>
            </w:r>
            <w:r w:rsidR="00ED7960">
              <w:rPr>
                <w:color w:val="000000"/>
              </w:rPr>
              <w:t>1</w:t>
            </w:r>
          </w:p>
        </w:tc>
        <w:tc>
          <w:tcPr>
            <w:tcW w:w="960" w:type="dxa"/>
            <w:hideMark/>
          </w:tcPr>
          <w:p w14:paraId="59124A35" w14:textId="4830F6D3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23,</w:t>
            </w:r>
            <w:r w:rsidR="00971ECB">
              <w:rPr>
                <w:color w:val="000000"/>
              </w:rPr>
              <w:t>9</w:t>
            </w:r>
          </w:p>
        </w:tc>
        <w:tc>
          <w:tcPr>
            <w:tcW w:w="960" w:type="dxa"/>
            <w:hideMark/>
          </w:tcPr>
          <w:p w14:paraId="2DB5AFA4" w14:textId="0FE7EBFE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</w:t>
            </w:r>
            <w:r w:rsidR="00971ECB">
              <w:rPr>
                <w:color w:val="000000"/>
              </w:rPr>
              <w:t>4</w:t>
            </w:r>
            <w:r w:rsidR="00ED7960">
              <w:rPr>
                <w:color w:val="000000"/>
              </w:rPr>
              <w:t>,2</w:t>
            </w:r>
          </w:p>
        </w:tc>
        <w:tc>
          <w:tcPr>
            <w:tcW w:w="960" w:type="dxa"/>
            <w:hideMark/>
          </w:tcPr>
          <w:p w14:paraId="2E1FFEFF" w14:textId="0F3FDBA4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24,</w:t>
            </w:r>
            <w:r w:rsidR="00ED7960">
              <w:rPr>
                <w:color w:val="000000"/>
              </w:rPr>
              <w:t>3</w:t>
            </w:r>
          </w:p>
        </w:tc>
        <w:tc>
          <w:tcPr>
            <w:tcW w:w="960" w:type="dxa"/>
            <w:hideMark/>
          </w:tcPr>
          <w:p w14:paraId="1C863D01" w14:textId="05B02956" w:rsidR="00E91112" w:rsidRPr="00A7332E" w:rsidRDefault="00E91112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24,</w:t>
            </w:r>
            <w:r w:rsidR="00ED7960">
              <w:rPr>
                <w:color w:val="000000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64DF03F6" w14:textId="34BE32DF" w:rsidR="00E91112" w:rsidRPr="00A7332E" w:rsidRDefault="00ED7960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</w:t>
            </w:r>
          </w:p>
        </w:tc>
      </w:tr>
      <w:tr w:rsidR="00E91112" w:rsidRPr="00A7332E" w14:paraId="5A769DB1" w14:textId="77777777" w:rsidTr="00D8238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58FB70A" w14:textId="77777777" w:rsidR="00E91112" w:rsidRPr="00A7332E" w:rsidRDefault="00E91112" w:rsidP="00D82381">
            <w:pPr>
              <w:rPr>
                <w:color w:val="000000"/>
              </w:rPr>
            </w:pPr>
            <w:proofErr w:type="spellStart"/>
            <w:r w:rsidRPr="00A7332E">
              <w:rPr>
                <w:color w:val="000000"/>
              </w:rPr>
              <w:t>Bilans</w:t>
            </w:r>
            <w:proofErr w:type="spellEnd"/>
            <w:r w:rsidRPr="00A7332E">
              <w:rPr>
                <w:color w:val="000000"/>
              </w:rPr>
              <w:t xml:space="preserve"> tekućeg računa u lim KM</w:t>
            </w:r>
          </w:p>
        </w:tc>
        <w:tc>
          <w:tcPr>
            <w:tcW w:w="940" w:type="dxa"/>
            <w:hideMark/>
          </w:tcPr>
          <w:p w14:paraId="256DF4D8" w14:textId="17CD8C4D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-1.</w:t>
            </w:r>
            <w:r w:rsidR="00ED7960">
              <w:rPr>
                <w:color w:val="000000"/>
              </w:rPr>
              <w:t>860</w:t>
            </w:r>
          </w:p>
        </w:tc>
        <w:tc>
          <w:tcPr>
            <w:tcW w:w="960" w:type="dxa"/>
            <w:hideMark/>
          </w:tcPr>
          <w:p w14:paraId="0656BFD7" w14:textId="7071E779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-1.</w:t>
            </w:r>
            <w:r w:rsidR="00ED7960">
              <w:rPr>
                <w:color w:val="000000"/>
              </w:rPr>
              <w:t>994</w:t>
            </w:r>
          </w:p>
        </w:tc>
        <w:tc>
          <w:tcPr>
            <w:tcW w:w="960" w:type="dxa"/>
            <w:hideMark/>
          </w:tcPr>
          <w:p w14:paraId="490A4584" w14:textId="5F4B4071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971ECB">
              <w:rPr>
                <w:color w:val="000000"/>
              </w:rPr>
              <w:t>2.0</w:t>
            </w:r>
            <w:r w:rsidR="00ED7960">
              <w:rPr>
                <w:color w:val="000000"/>
              </w:rPr>
              <w:t>88</w:t>
            </w:r>
          </w:p>
        </w:tc>
        <w:tc>
          <w:tcPr>
            <w:tcW w:w="960" w:type="dxa"/>
            <w:hideMark/>
          </w:tcPr>
          <w:p w14:paraId="2A19AB73" w14:textId="1E787D9F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971ECB">
              <w:rPr>
                <w:color w:val="000000"/>
              </w:rPr>
              <w:t>2.</w:t>
            </w:r>
            <w:r w:rsidR="00ED7960">
              <w:rPr>
                <w:color w:val="000000"/>
              </w:rPr>
              <w:t>371</w:t>
            </w:r>
          </w:p>
        </w:tc>
        <w:tc>
          <w:tcPr>
            <w:tcW w:w="960" w:type="dxa"/>
            <w:hideMark/>
          </w:tcPr>
          <w:p w14:paraId="35D33418" w14:textId="416DC662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971ECB">
              <w:rPr>
                <w:color w:val="000000"/>
              </w:rPr>
              <w:t>2.</w:t>
            </w:r>
            <w:r w:rsidR="00ED7960">
              <w:rPr>
                <w:color w:val="000000"/>
              </w:rPr>
              <w:t>631</w:t>
            </w:r>
          </w:p>
        </w:tc>
        <w:tc>
          <w:tcPr>
            <w:tcW w:w="960" w:type="dxa"/>
            <w:noWrap/>
            <w:hideMark/>
          </w:tcPr>
          <w:p w14:paraId="028243FB" w14:textId="03F1A46B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-</w:t>
            </w:r>
            <w:r w:rsidR="00971ECB">
              <w:rPr>
                <w:rFonts w:ascii="Calibri" w:hAnsi="Calibri" w:cs="Calibri"/>
                <w:color w:val="000000"/>
              </w:rPr>
              <w:t>2.</w:t>
            </w:r>
            <w:r w:rsidR="00ED7960">
              <w:rPr>
                <w:rFonts w:ascii="Calibri" w:hAnsi="Calibri" w:cs="Calibri"/>
                <w:color w:val="000000"/>
              </w:rPr>
              <w:t>866</w:t>
            </w:r>
          </w:p>
        </w:tc>
      </w:tr>
      <w:tr w:rsidR="00E91112" w:rsidRPr="00A7332E" w14:paraId="2283B9E4" w14:textId="77777777" w:rsidTr="00D82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38C8146" w14:textId="77777777" w:rsidR="00E91112" w:rsidRPr="00A7332E" w:rsidRDefault="00E91112" w:rsidP="00D82381">
            <w:pPr>
              <w:rPr>
                <w:color w:val="000000"/>
              </w:rPr>
            </w:pPr>
            <w:r w:rsidRPr="00A7332E">
              <w:rPr>
                <w:color w:val="000000"/>
              </w:rPr>
              <w:lastRenderedPageBreak/>
              <w:t>Rast u %</w:t>
            </w:r>
          </w:p>
        </w:tc>
        <w:tc>
          <w:tcPr>
            <w:tcW w:w="940" w:type="dxa"/>
            <w:hideMark/>
          </w:tcPr>
          <w:p w14:paraId="1048091D" w14:textId="3F7CA4F0" w:rsidR="00E91112" w:rsidRPr="00A7332E" w:rsidRDefault="00971EC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D7960">
              <w:rPr>
                <w:color w:val="000000"/>
              </w:rPr>
              <w:t>74,4</w:t>
            </w:r>
          </w:p>
        </w:tc>
        <w:tc>
          <w:tcPr>
            <w:tcW w:w="960" w:type="dxa"/>
            <w:hideMark/>
          </w:tcPr>
          <w:p w14:paraId="3692573B" w14:textId="1569C3DD" w:rsidR="00E91112" w:rsidRPr="00A7332E" w:rsidRDefault="00ED7960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960" w:type="dxa"/>
            <w:hideMark/>
          </w:tcPr>
          <w:p w14:paraId="27294708" w14:textId="556559E7" w:rsidR="00E91112" w:rsidRPr="00A7332E" w:rsidRDefault="00971ECB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ED7960">
              <w:rPr>
                <w:color w:val="000000"/>
              </w:rPr>
              <w:t>7</w:t>
            </w:r>
          </w:p>
        </w:tc>
        <w:tc>
          <w:tcPr>
            <w:tcW w:w="960" w:type="dxa"/>
            <w:hideMark/>
          </w:tcPr>
          <w:p w14:paraId="7596B427" w14:textId="6510AC40" w:rsidR="00E91112" w:rsidRPr="00A7332E" w:rsidRDefault="00971ECB" w:rsidP="00971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ED7960">
              <w:rPr>
                <w:color w:val="000000"/>
              </w:rPr>
              <w:t>13,6</w:t>
            </w:r>
          </w:p>
        </w:tc>
        <w:tc>
          <w:tcPr>
            <w:tcW w:w="960" w:type="dxa"/>
            <w:hideMark/>
          </w:tcPr>
          <w:p w14:paraId="318A297D" w14:textId="23468F34" w:rsidR="00E91112" w:rsidRPr="00A7332E" w:rsidRDefault="00ED7960" w:rsidP="00D823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noWrap/>
            <w:hideMark/>
          </w:tcPr>
          <w:p w14:paraId="1C667ADA" w14:textId="55BA05A5" w:rsidR="00E91112" w:rsidRPr="00A7332E" w:rsidRDefault="00ED7960" w:rsidP="00ED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</w:tr>
      <w:tr w:rsidR="00E91112" w:rsidRPr="00A7332E" w14:paraId="345C69BB" w14:textId="77777777" w:rsidTr="00D8238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27F1840" w14:textId="77777777" w:rsidR="00E91112" w:rsidRPr="00A7332E" w:rsidRDefault="00E91112" w:rsidP="00D82381">
            <w:pPr>
              <w:rPr>
                <w:color w:val="000000"/>
              </w:rPr>
            </w:pPr>
            <w:proofErr w:type="spellStart"/>
            <w:r w:rsidRPr="00A7332E">
              <w:rPr>
                <w:color w:val="000000"/>
              </w:rPr>
              <w:t>Bilans</w:t>
            </w:r>
            <w:proofErr w:type="spellEnd"/>
            <w:r w:rsidRPr="00A7332E">
              <w:rPr>
                <w:color w:val="000000"/>
              </w:rPr>
              <w:t xml:space="preserve"> tekućeg računa u % BPD-a</w:t>
            </w:r>
          </w:p>
        </w:tc>
        <w:tc>
          <w:tcPr>
            <w:tcW w:w="940" w:type="dxa"/>
            <w:hideMark/>
          </w:tcPr>
          <w:p w14:paraId="50D22079" w14:textId="00D27FF7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ED7960">
              <w:rPr>
                <w:color w:val="000000"/>
              </w:rPr>
              <w:t>3,4</w:t>
            </w:r>
          </w:p>
        </w:tc>
        <w:tc>
          <w:tcPr>
            <w:tcW w:w="960" w:type="dxa"/>
            <w:hideMark/>
          </w:tcPr>
          <w:p w14:paraId="283497E7" w14:textId="0B2AB852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-3,</w:t>
            </w:r>
            <w:r w:rsidR="00971ECB">
              <w:rPr>
                <w:color w:val="000000"/>
              </w:rPr>
              <w:t>4</w:t>
            </w:r>
          </w:p>
        </w:tc>
        <w:tc>
          <w:tcPr>
            <w:tcW w:w="960" w:type="dxa"/>
            <w:hideMark/>
          </w:tcPr>
          <w:p w14:paraId="04B43983" w14:textId="28FE2FF5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-3,</w:t>
            </w:r>
            <w:r w:rsidR="00ED7960">
              <w:rPr>
                <w:color w:val="000000"/>
              </w:rPr>
              <w:t>3</w:t>
            </w:r>
          </w:p>
        </w:tc>
        <w:tc>
          <w:tcPr>
            <w:tcW w:w="960" w:type="dxa"/>
            <w:hideMark/>
          </w:tcPr>
          <w:p w14:paraId="110EF9BC" w14:textId="3F54A868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971ECB">
              <w:rPr>
                <w:color w:val="000000"/>
              </w:rPr>
              <w:t>3,</w:t>
            </w:r>
            <w:r w:rsidR="00ED7960">
              <w:rPr>
                <w:color w:val="000000"/>
              </w:rPr>
              <w:t>6</w:t>
            </w:r>
          </w:p>
        </w:tc>
        <w:tc>
          <w:tcPr>
            <w:tcW w:w="960" w:type="dxa"/>
            <w:hideMark/>
          </w:tcPr>
          <w:p w14:paraId="068F5C0B" w14:textId="7045BBB0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7332E">
              <w:rPr>
                <w:color w:val="000000"/>
              </w:rPr>
              <w:t>-</w:t>
            </w:r>
            <w:r w:rsidR="00971ECB">
              <w:rPr>
                <w:color w:val="000000"/>
              </w:rPr>
              <w:t>3,8</w:t>
            </w:r>
          </w:p>
        </w:tc>
        <w:tc>
          <w:tcPr>
            <w:tcW w:w="960" w:type="dxa"/>
            <w:noWrap/>
            <w:hideMark/>
          </w:tcPr>
          <w:p w14:paraId="44CAD50F" w14:textId="3D78CBAF" w:rsidR="00E91112" w:rsidRPr="00A7332E" w:rsidRDefault="00E91112" w:rsidP="00D823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7332E">
              <w:rPr>
                <w:rFonts w:ascii="Calibri" w:hAnsi="Calibri" w:cs="Calibri"/>
                <w:color w:val="000000"/>
              </w:rPr>
              <w:t>-</w:t>
            </w:r>
            <w:r w:rsidR="00971ECB">
              <w:rPr>
                <w:rFonts w:ascii="Calibri" w:hAnsi="Calibri" w:cs="Calibri"/>
                <w:color w:val="000000"/>
              </w:rPr>
              <w:t>3,</w:t>
            </w:r>
            <w:r w:rsidR="00ED7960">
              <w:rPr>
                <w:rFonts w:ascii="Calibri" w:hAnsi="Calibri" w:cs="Calibri"/>
                <w:color w:val="000000"/>
              </w:rPr>
              <w:t>9</w:t>
            </w:r>
          </w:p>
        </w:tc>
      </w:tr>
    </w:tbl>
    <w:p w14:paraId="5850F722" w14:textId="77777777" w:rsidR="00E91112" w:rsidRPr="00E91112" w:rsidRDefault="00E91112" w:rsidP="00E91112">
      <w:pPr>
        <w:rPr>
          <w:lang w:val="bs-Latn-BA"/>
        </w:rPr>
      </w:pPr>
    </w:p>
    <w:p w14:paraId="3525C924" w14:textId="2DC28811" w:rsidR="00E91112" w:rsidRPr="005F7E2C" w:rsidRDefault="00AC7A15" w:rsidP="00E91112">
      <w:pPr>
        <w:rPr>
          <w:i/>
        </w:rPr>
      </w:pPr>
      <w:r>
        <w:rPr>
          <w:sz w:val="20"/>
        </w:rPr>
        <w:t xml:space="preserve">Izvor: </w:t>
      </w:r>
      <w:r w:rsidR="00E91112" w:rsidRPr="005F7E2C">
        <w:rPr>
          <w:i/>
        </w:rPr>
        <w:t>Izvor: Federalno ministarstvo financija, Projekcije proljeće 202</w:t>
      </w:r>
      <w:r w:rsidR="00ED7960">
        <w:rPr>
          <w:i/>
        </w:rPr>
        <w:t>6</w:t>
      </w:r>
      <w:r w:rsidR="00E91112" w:rsidRPr="005F7E2C">
        <w:rPr>
          <w:i/>
        </w:rPr>
        <w:t>. godine</w:t>
      </w:r>
    </w:p>
    <w:p w14:paraId="05A2323D" w14:textId="77777777" w:rsidR="00CF152E" w:rsidRDefault="00CF152E" w:rsidP="00CF152E">
      <w:pPr>
        <w:rPr>
          <w:sz w:val="20"/>
        </w:rPr>
      </w:pPr>
    </w:p>
    <w:p w14:paraId="3A6DFE91" w14:textId="77777777" w:rsidR="00CF152E" w:rsidRPr="006A497E" w:rsidRDefault="00CF152E" w:rsidP="00CF152E">
      <w:pPr>
        <w:rPr>
          <w:sz w:val="20"/>
        </w:rPr>
      </w:pPr>
    </w:p>
    <w:p w14:paraId="28CBC131" w14:textId="47E14A23" w:rsidR="00CF152E" w:rsidRDefault="00760DF6" w:rsidP="00CF152E">
      <w:pPr>
        <w:ind w:firstLine="708"/>
        <w:jc w:val="both"/>
        <w:rPr>
          <w:sz w:val="24"/>
          <w:szCs w:val="24"/>
        </w:rPr>
      </w:pPr>
      <w:r w:rsidRPr="00E91112">
        <w:rPr>
          <w:sz w:val="24"/>
          <w:szCs w:val="24"/>
        </w:rPr>
        <w:t>U razdo</w:t>
      </w:r>
      <w:r w:rsidR="00E91112">
        <w:rPr>
          <w:sz w:val="24"/>
          <w:szCs w:val="24"/>
        </w:rPr>
        <w:t>blju 202</w:t>
      </w:r>
      <w:r w:rsidR="00ED7960">
        <w:rPr>
          <w:sz w:val="24"/>
          <w:szCs w:val="24"/>
        </w:rPr>
        <w:t>7</w:t>
      </w:r>
      <w:r w:rsidR="00E91112">
        <w:rPr>
          <w:sz w:val="24"/>
          <w:szCs w:val="24"/>
        </w:rPr>
        <w:t>.-202</w:t>
      </w:r>
      <w:r w:rsidR="00ED7960">
        <w:rPr>
          <w:sz w:val="24"/>
          <w:szCs w:val="24"/>
        </w:rPr>
        <w:t>9</w:t>
      </w:r>
      <w:r w:rsidR="00CF152E" w:rsidRPr="00E91112">
        <w:rPr>
          <w:sz w:val="24"/>
          <w:szCs w:val="24"/>
        </w:rPr>
        <w:t xml:space="preserve">. godine projicira se poboljšanje uslijed pozitivnih ekonomskih aktivnosti u zemljama okruženja i u zemlji. </w:t>
      </w:r>
    </w:p>
    <w:p w14:paraId="2BBF3757" w14:textId="77777777" w:rsidR="00CF152E" w:rsidRPr="00891B16" w:rsidRDefault="00CF152E" w:rsidP="00CF152E">
      <w:pPr>
        <w:rPr>
          <w:rFonts w:ascii="Arial" w:hAnsi="Arial" w:cs="Arial"/>
          <w:sz w:val="24"/>
          <w:szCs w:val="24"/>
        </w:rPr>
      </w:pPr>
      <w:bookmarkStart w:id="30" w:name="_Toc423268482"/>
      <w:bookmarkStart w:id="31" w:name="_Toc423268739"/>
    </w:p>
    <w:p w14:paraId="61BAC378" w14:textId="77777777" w:rsidR="00CF152E" w:rsidRPr="0040767F" w:rsidRDefault="000213D9" w:rsidP="0040767F">
      <w:pPr>
        <w:pStyle w:val="Naslov2"/>
      </w:pPr>
      <w:bookmarkStart w:id="32" w:name="_Toc106015336"/>
      <w:bookmarkStart w:id="33" w:name="_Toc232407825"/>
      <w:r w:rsidRPr="0040767F">
        <w:t>2.2.</w:t>
      </w:r>
      <w:r w:rsidR="00CF152E" w:rsidRPr="0040767F">
        <w:t xml:space="preserve"> Federacija BiH - BDP projekcije</w:t>
      </w:r>
      <w:bookmarkEnd w:id="30"/>
      <w:bookmarkEnd w:id="31"/>
      <w:bookmarkEnd w:id="32"/>
      <w:bookmarkEnd w:id="33"/>
    </w:p>
    <w:p w14:paraId="54E9BBA4" w14:textId="77777777" w:rsidR="00B57E4D" w:rsidRDefault="00B57E4D" w:rsidP="00B57E4D"/>
    <w:p w14:paraId="25D075BF" w14:textId="77777777" w:rsidR="00472F00" w:rsidRDefault="00472F00" w:rsidP="00472F00">
      <w:pPr>
        <w:ind w:firstLine="708"/>
      </w:pPr>
    </w:p>
    <w:p w14:paraId="1D1E7675" w14:textId="34B32BAA" w:rsidR="00457BA0" w:rsidRPr="00457BA0" w:rsidRDefault="008217BF" w:rsidP="00457BA0">
      <w:pPr>
        <w:ind w:firstLine="708"/>
      </w:pPr>
      <w:r w:rsidRPr="00457BA0">
        <w:t xml:space="preserve">Projekcije realnog rasta bruto domaćeg proizvoda (BDP) za Bosnu i Hercegovinu u 2025. godini kretale su se između </w:t>
      </w:r>
      <w:r w:rsidRPr="00457BA0">
        <w:rPr>
          <w:rStyle w:val="Naglaeno"/>
          <w:b w:val="0"/>
          <w:bCs w:val="0"/>
        </w:rPr>
        <w:t>2,0% i 2,7%.</w:t>
      </w:r>
    </w:p>
    <w:p w14:paraId="501F044C" w14:textId="77777777" w:rsidR="00457BA0" w:rsidRPr="00457BA0" w:rsidRDefault="00457BA0" w:rsidP="00457BA0">
      <w:pPr>
        <w:ind w:firstLine="708"/>
      </w:pPr>
    </w:p>
    <w:p w14:paraId="1D7441D4" w14:textId="77777777" w:rsidR="00457BA0" w:rsidRPr="00457BA0" w:rsidRDefault="00457BA0" w:rsidP="00457BA0">
      <w:pPr>
        <w:ind w:firstLine="708"/>
      </w:pPr>
      <w:r w:rsidRPr="00457BA0">
        <w:t xml:space="preserve">Ukupni vanjski i unutrašnji dug Vlade FBiH iznosio je </w:t>
      </w:r>
      <w:r w:rsidRPr="00457BA0">
        <w:rPr>
          <w:rStyle w:val="Naglaeno"/>
          <w:b w:val="0"/>
          <w:bCs w:val="0"/>
        </w:rPr>
        <w:t>7.186,13 miliona KM</w:t>
      </w:r>
      <w:r w:rsidRPr="00457BA0">
        <w:rPr>
          <w:b/>
          <w:bCs/>
        </w:rPr>
        <w:t>.</w:t>
      </w:r>
      <w:r w:rsidRPr="00457BA0">
        <w:t xml:space="preserve"> Vanjski dug činio je 77,4%, dok je unutrašnji iznosio 22,6% duga. Udio javnog duga u BDP-u zadržao je opadajući trend. </w:t>
      </w:r>
    </w:p>
    <w:p w14:paraId="7E121B39" w14:textId="666A776B" w:rsidR="001429DC" w:rsidRPr="00457BA0" w:rsidRDefault="008217BF" w:rsidP="00457BA0">
      <w:pPr>
        <w:ind w:firstLine="708"/>
      </w:pPr>
      <w:r w:rsidRPr="00457BA0">
        <w:t>Nominalni bruto domaći proizvod (BDP) Bosne i Hercegovine za 2025. godinu procijenjen je na približno 53,9 milijardi KM (oko 29,8 milijardi eura), uz realnu stopu gospodarskog rasta od oko 2,4%.</w:t>
      </w:r>
    </w:p>
    <w:p w14:paraId="66658639" w14:textId="2A45C1CC" w:rsidR="009B1EEF" w:rsidRPr="00457BA0" w:rsidRDefault="009B1EEF" w:rsidP="00457BA0">
      <w:pPr>
        <w:ind w:firstLine="708"/>
      </w:pPr>
      <w:r w:rsidRPr="00457BA0">
        <w:rPr>
          <w:sz w:val="24"/>
          <w:szCs w:val="24"/>
        </w:rPr>
        <w:t xml:space="preserve">U </w:t>
      </w:r>
      <w:r w:rsidR="009C71FE" w:rsidRPr="00457BA0">
        <w:rPr>
          <w:sz w:val="24"/>
          <w:szCs w:val="24"/>
        </w:rPr>
        <w:t>ožujku</w:t>
      </w:r>
      <w:r w:rsidRPr="00457BA0">
        <w:rPr>
          <w:sz w:val="24"/>
          <w:szCs w:val="24"/>
        </w:rPr>
        <w:t xml:space="preserve"> 202</w:t>
      </w:r>
      <w:r w:rsidR="001429DC" w:rsidRPr="00457BA0">
        <w:rPr>
          <w:sz w:val="24"/>
          <w:szCs w:val="24"/>
        </w:rPr>
        <w:t>6</w:t>
      </w:r>
      <w:r w:rsidRPr="00457BA0">
        <w:rPr>
          <w:sz w:val="24"/>
          <w:szCs w:val="24"/>
        </w:rPr>
        <w:t>. godine prosječna neto plaća iznosila je 1.</w:t>
      </w:r>
      <w:r w:rsidR="001429DC" w:rsidRPr="00457BA0">
        <w:rPr>
          <w:sz w:val="24"/>
          <w:szCs w:val="24"/>
        </w:rPr>
        <w:t>680</w:t>
      </w:r>
      <w:r w:rsidRPr="00457BA0">
        <w:rPr>
          <w:sz w:val="24"/>
          <w:szCs w:val="24"/>
        </w:rPr>
        <w:t xml:space="preserve"> KM, </w:t>
      </w:r>
      <w:r w:rsidR="001429DC" w:rsidRPr="00457BA0">
        <w:t>što pokazuje da je nominalni rast od 2,2% u odnosu na prethodni mjesec (veljaču), a u usporedbi s ožujkom prethodne godine, nominalno je viši za 9,5%.</w:t>
      </w:r>
    </w:p>
    <w:p w14:paraId="5FDB29EC" w14:textId="77777777" w:rsidR="00CF152E" w:rsidRDefault="00CF152E" w:rsidP="00457BA0">
      <w:pPr>
        <w:jc w:val="both"/>
        <w:rPr>
          <w:sz w:val="20"/>
        </w:rPr>
      </w:pPr>
    </w:p>
    <w:p w14:paraId="75E42E2E" w14:textId="77777777" w:rsidR="00AB06DF" w:rsidRPr="00AC7A15" w:rsidRDefault="00AB06DF" w:rsidP="00AC7A15">
      <w:bookmarkStart w:id="34" w:name="_Toc423268484"/>
      <w:bookmarkStart w:id="35" w:name="_Toc423268741"/>
      <w:bookmarkStart w:id="36" w:name="_Toc106015337"/>
    </w:p>
    <w:p w14:paraId="4DCC86AF" w14:textId="77777777" w:rsidR="00CF152E" w:rsidRDefault="000213D9" w:rsidP="005C4B5C">
      <w:pPr>
        <w:pStyle w:val="Naslov3"/>
      </w:pPr>
      <w:bookmarkStart w:id="37" w:name="_Toc232407826"/>
      <w:r>
        <w:t>2.2.1.</w:t>
      </w:r>
      <w:r w:rsidR="00CF152E">
        <w:t xml:space="preserve"> </w:t>
      </w:r>
      <w:r w:rsidR="00CF152E" w:rsidRPr="00891B16">
        <w:t>Ekonomski rast u Federaciji BiH</w:t>
      </w:r>
      <w:bookmarkEnd w:id="34"/>
      <w:bookmarkEnd w:id="35"/>
      <w:bookmarkEnd w:id="36"/>
      <w:bookmarkEnd w:id="37"/>
    </w:p>
    <w:p w14:paraId="3A57B7AC" w14:textId="77777777" w:rsidR="005332D6" w:rsidRPr="005332D6" w:rsidRDefault="005332D6" w:rsidP="005332D6"/>
    <w:p w14:paraId="522E21FE" w14:textId="77777777" w:rsidR="005332D6" w:rsidRPr="005332D6" w:rsidRDefault="005332D6" w:rsidP="005332D6"/>
    <w:p w14:paraId="4EDAE550" w14:textId="56A338DD" w:rsidR="00CF152E" w:rsidRDefault="005332D6" w:rsidP="005332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4422">
        <w:rPr>
          <w:sz w:val="24"/>
          <w:szCs w:val="24"/>
        </w:rPr>
        <w:t>U nastavku teksta, tablični prikaz u kojem su predstavljeni su glavni makroekonomski parametri Federacije BiH za period 2</w:t>
      </w:r>
      <w:r w:rsidR="00AD0B87">
        <w:rPr>
          <w:sz w:val="24"/>
          <w:szCs w:val="24"/>
        </w:rPr>
        <w:t>020</w:t>
      </w:r>
      <w:r w:rsidRPr="00334422">
        <w:rPr>
          <w:sz w:val="24"/>
          <w:szCs w:val="24"/>
        </w:rPr>
        <w:t>. – 202</w:t>
      </w:r>
      <w:r w:rsidR="00AD0B87">
        <w:rPr>
          <w:sz w:val="24"/>
          <w:szCs w:val="24"/>
        </w:rPr>
        <w:t>4</w:t>
      </w:r>
      <w:r w:rsidRPr="00334422">
        <w:rPr>
          <w:sz w:val="24"/>
          <w:szCs w:val="24"/>
        </w:rPr>
        <w:t>. godine.</w:t>
      </w:r>
    </w:p>
    <w:p w14:paraId="3E9C1850" w14:textId="77777777" w:rsidR="00C86147" w:rsidRDefault="00C86147" w:rsidP="005332D6">
      <w:pPr>
        <w:jc w:val="both"/>
        <w:rPr>
          <w:sz w:val="24"/>
          <w:szCs w:val="24"/>
        </w:rPr>
      </w:pPr>
    </w:p>
    <w:p w14:paraId="055D7E45" w14:textId="0B05CC31" w:rsidR="00C86147" w:rsidRDefault="00D82381" w:rsidP="00D82381">
      <w:pPr>
        <w:pStyle w:val="Opisslike"/>
        <w:rPr>
          <w:sz w:val="24"/>
          <w:szCs w:val="24"/>
        </w:rPr>
      </w:pPr>
      <w:bookmarkStart w:id="38" w:name="_Toc232407850"/>
      <w:r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A419B0">
        <w:t>2</w:t>
      </w:r>
      <w:r>
        <w:fldChar w:fldCharType="end"/>
      </w:r>
      <w:r>
        <w:t xml:space="preserve">. </w:t>
      </w:r>
      <w:r w:rsidR="00C86147">
        <w:t>Makroekonomski pokaz</w:t>
      </w:r>
      <w:r w:rsidR="00D6168C">
        <w:t>atelji Federacije BIH 2020.-202</w:t>
      </w:r>
      <w:r w:rsidR="00AD0B87">
        <w:t>4</w:t>
      </w:r>
      <w:r w:rsidR="00C86147">
        <w:t>. godina u %</w:t>
      </w:r>
      <w:r w:rsidR="00AD0B87">
        <w:rPr>
          <w:rStyle w:val="Referencafusnote"/>
        </w:rPr>
        <w:footnoteReference w:id="3"/>
      </w:r>
      <w:bookmarkEnd w:id="38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4703"/>
        <w:gridCol w:w="1305"/>
        <w:gridCol w:w="1305"/>
        <w:gridCol w:w="1305"/>
        <w:gridCol w:w="1305"/>
      </w:tblGrid>
      <w:tr w:rsidR="00C86147" w:rsidRPr="00C86147" w14:paraId="4F625AB8" w14:textId="77777777" w:rsidTr="00AD0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vAlign w:val="center"/>
            <w:hideMark/>
          </w:tcPr>
          <w:p w14:paraId="6EC1E24C" w14:textId="77799335" w:rsidR="00C86147" w:rsidRPr="00C86147" w:rsidRDefault="00AD0B87" w:rsidP="004F5C2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</w:t>
            </w:r>
            <w:r w:rsidR="00C86147" w:rsidRPr="00C86147">
              <w:rPr>
                <w:rFonts w:ascii="Calibri" w:hAnsi="Calibri" w:cs="Calibri"/>
                <w:color w:val="000000"/>
                <w:szCs w:val="22"/>
              </w:rPr>
              <w:t>Makroekonomski indikatori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                 20220</w:t>
            </w:r>
          </w:p>
        </w:tc>
        <w:tc>
          <w:tcPr>
            <w:tcW w:w="1305" w:type="dxa"/>
            <w:noWrap/>
            <w:vAlign w:val="center"/>
            <w:hideMark/>
          </w:tcPr>
          <w:p w14:paraId="1F137785" w14:textId="4B5008AE" w:rsidR="00C86147" w:rsidRPr="00C86147" w:rsidRDefault="00D6168C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305" w:type="dxa"/>
            <w:noWrap/>
            <w:vAlign w:val="center"/>
            <w:hideMark/>
          </w:tcPr>
          <w:p w14:paraId="48DCF12C" w14:textId="7063F6C7" w:rsidR="00C86147" w:rsidRPr="00C86147" w:rsidRDefault="00C86147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20</w:t>
            </w:r>
            <w:r w:rsidR="00D6168C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305" w:type="dxa"/>
            <w:noWrap/>
            <w:vAlign w:val="center"/>
            <w:hideMark/>
          </w:tcPr>
          <w:p w14:paraId="5F1D063D" w14:textId="6916F3EA" w:rsidR="00C86147" w:rsidRPr="00C86147" w:rsidRDefault="00D6168C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305" w:type="dxa"/>
            <w:noWrap/>
            <w:vAlign w:val="center"/>
            <w:hideMark/>
          </w:tcPr>
          <w:p w14:paraId="77854985" w14:textId="5D521A3F" w:rsidR="00C86147" w:rsidRPr="00C86147" w:rsidRDefault="00D6168C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C86147" w:rsidRPr="00C86147" w14:paraId="4690ED1C" w14:textId="77777777" w:rsidTr="00AD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0B3F11CC" w14:textId="2EE9D4C2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BDP realni rast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                  </w:t>
            </w:r>
            <w:r w:rsidR="00AD0B87" w:rsidRPr="00AD0B87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-3,6</w:t>
            </w:r>
          </w:p>
        </w:tc>
        <w:tc>
          <w:tcPr>
            <w:tcW w:w="1305" w:type="dxa"/>
            <w:noWrap/>
            <w:hideMark/>
          </w:tcPr>
          <w:p w14:paraId="0D9A877E" w14:textId="547268EE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8,1</w:t>
            </w:r>
          </w:p>
        </w:tc>
        <w:tc>
          <w:tcPr>
            <w:tcW w:w="1305" w:type="dxa"/>
            <w:noWrap/>
            <w:hideMark/>
          </w:tcPr>
          <w:p w14:paraId="7C4CB214" w14:textId="287FE12E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4,1</w:t>
            </w:r>
          </w:p>
        </w:tc>
        <w:tc>
          <w:tcPr>
            <w:tcW w:w="1305" w:type="dxa"/>
            <w:noWrap/>
            <w:hideMark/>
          </w:tcPr>
          <w:p w14:paraId="2558AA25" w14:textId="244F7211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1305" w:type="dxa"/>
            <w:noWrap/>
            <w:hideMark/>
          </w:tcPr>
          <w:p w14:paraId="5584111A" w14:textId="6B889258" w:rsidR="00C86147" w:rsidRPr="00C86147" w:rsidRDefault="00AF7773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C86147" w:rsidRPr="00C86147" w14:paraId="07C6AD14" w14:textId="77777777" w:rsidTr="00AD0B87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40E51CC5" w14:textId="54FCD533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Indeks industrijske proizvodnje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</w:t>
            </w:r>
            <w:r w:rsidR="00AD0B87" w:rsidRPr="00F15FED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-5,8</w:t>
            </w:r>
          </w:p>
        </w:tc>
        <w:tc>
          <w:tcPr>
            <w:tcW w:w="1305" w:type="dxa"/>
            <w:noWrap/>
            <w:hideMark/>
          </w:tcPr>
          <w:p w14:paraId="308D83FD" w14:textId="68A9CF86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9,8</w:t>
            </w:r>
          </w:p>
        </w:tc>
        <w:tc>
          <w:tcPr>
            <w:tcW w:w="1305" w:type="dxa"/>
            <w:noWrap/>
            <w:hideMark/>
          </w:tcPr>
          <w:p w14:paraId="400D5342" w14:textId="1BCFE56A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1,2</w:t>
            </w:r>
          </w:p>
        </w:tc>
        <w:tc>
          <w:tcPr>
            <w:tcW w:w="1305" w:type="dxa"/>
            <w:noWrap/>
            <w:hideMark/>
          </w:tcPr>
          <w:p w14:paraId="5A3FD65A" w14:textId="0156049B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-4,2</w:t>
            </w:r>
          </w:p>
        </w:tc>
        <w:tc>
          <w:tcPr>
            <w:tcW w:w="1305" w:type="dxa"/>
            <w:noWrap/>
            <w:hideMark/>
          </w:tcPr>
          <w:p w14:paraId="5E0F308E" w14:textId="1F949A73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-3,9</w:t>
            </w:r>
          </w:p>
        </w:tc>
      </w:tr>
      <w:tr w:rsidR="00C86147" w:rsidRPr="00C86147" w14:paraId="1D82654B" w14:textId="77777777" w:rsidTr="00AD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6BEA848C" w14:textId="72272C6C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Indeks potrošačkih cijena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</w:t>
            </w:r>
            <w:r w:rsidR="00AD0B87" w:rsidRPr="00F15FED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-0,9</w:t>
            </w:r>
          </w:p>
        </w:tc>
        <w:tc>
          <w:tcPr>
            <w:tcW w:w="1305" w:type="dxa"/>
            <w:noWrap/>
            <w:hideMark/>
          </w:tcPr>
          <w:p w14:paraId="1EEBD61D" w14:textId="2C0972A3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2,1</w:t>
            </w:r>
          </w:p>
        </w:tc>
        <w:tc>
          <w:tcPr>
            <w:tcW w:w="1305" w:type="dxa"/>
            <w:noWrap/>
            <w:hideMark/>
          </w:tcPr>
          <w:p w14:paraId="5881D5B3" w14:textId="72D5A9C1" w:rsidR="00C86147" w:rsidRPr="00C86147" w:rsidRDefault="00AD0B87" w:rsidP="00AD0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14,9</w:t>
            </w:r>
          </w:p>
        </w:tc>
        <w:tc>
          <w:tcPr>
            <w:tcW w:w="1305" w:type="dxa"/>
            <w:noWrap/>
            <w:hideMark/>
          </w:tcPr>
          <w:p w14:paraId="07F01297" w14:textId="6BDB561A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5,1</w:t>
            </w:r>
          </w:p>
        </w:tc>
        <w:tc>
          <w:tcPr>
            <w:tcW w:w="1305" w:type="dxa"/>
            <w:noWrap/>
            <w:hideMark/>
          </w:tcPr>
          <w:p w14:paraId="2005E72D" w14:textId="7E02868C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1,4</w:t>
            </w:r>
          </w:p>
        </w:tc>
      </w:tr>
      <w:tr w:rsidR="00C86147" w:rsidRPr="00C86147" w14:paraId="2AC15A4E" w14:textId="77777777" w:rsidTr="00AD0B87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2E74ADB6" w14:textId="33D365CC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Izvoz roba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                            </w:t>
            </w:r>
            <w:r w:rsidR="00AD0B87" w:rsidRPr="00F15FED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-9,8</w:t>
            </w:r>
          </w:p>
        </w:tc>
        <w:tc>
          <w:tcPr>
            <w:tcW w:w="1305" w:type="dxa"/>
            <w:noWrap/>
            <w:hideMark/>
          </w:tcPr>
          <w:p w14:paraId="4D38F330" w14:textId="7685FD34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39,3</w:t>
            </w:r>
          </w:p>
        </w:tc>
        <w:tc>
          <w:tcPr>
            <w:tcW w:w="1305" w:type="dxa"/>
            <w:noWrap/>
            <w:hideMark/>
          </w:tcPr>
          <w:p w14:paraId="1CD64AA3" w14:textId="3685B575" w:rsidR="00C86147" w:rsidRPr="00C86147" w:rsidRDefault="00AD0B87" w:rsidP="00AD0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 26,5</w:t>
            </w:r>
          </w:p>
        </w:tc>
        <w:tc>
          <w:tcPr>
            <w:tcW w:w="1305" w:type="dxa"/>
            <w:noWrap/>
            <w:hideMark/>
          </w:tcPr>
          <w:p w14:paraId="63FA0CA7" w14:textId="60CF8B9F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-7,8</w:t>
            </w:r>
          </w:p>
        </w:tc>
        <w:tc>
          <w:tcPr>
            <w:tcW w:w="1305" w:type="dxa"/>
            <w:noWrap/>
            <w:hideMark/>
          </w:tcPr>
          <w:p w14:paraId="0AC460C7" w14:textId="689FA052" w:rsidR="00C86147" w:rsidRPr="00C86147" w:rsidRDefault="00D6168C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>3,8</w:t>
            </w:r>
          </w:p>
        </w:tc>
      </w:tr>
      <w:tr w:rsidR="00C86147" w:rsidRPr="00C86147" w14:paraId="475830ED" w14:textId="77777777" w:rsidTr="00AD0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56B23C06" w14:textId="5B54D1AA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Uvoz roba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                                      </w:t>
            </w:r>
            <w:r w:rsidR="00AD0B87" w:rsidRPr="00F15FED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-15,7</w:t>
            </w:r>
          </w:p>
        </w:tc>
        <w:tc>
          <w:tcPr>
            <w:tcW w:w="1305" w:type="dxa"/>
            <w:noWrap/>
            <w:hideMark/>
          </w:tcPr>
          <w:p w14:paraId="0EB59C48" w14:textId="4ECC0013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29,5</w:t>
            </w:r>
          </w:p>
        </w:tc>
        <w:tc>
          <w:tcPr>
            <w:tcW w:w="1305" w:type="dxa"/>
            <w:noWrap/>
            <w:hideMark/>
          </w:tcPr>
          <w:p w14:paraId="6839316C" w14:textId="63819082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34,8</w:t>
            </w:r>
          </w:p>
        </w:tc>
        <w:tc>
          <w:tcPr>
            <w:tcW w:w="1305" w:type="dxa"/>
            <w:noWrap/>
            <w:hideMark/>
          </w:tcPr>
          <w:p w14:paraId="7529F012" w14:textId="5F5DFBC0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-3,2</w:t>
            </w:r>
          </w:p>
        </w:tc>
        <w:tc>
          <w:tcPr>
            <w:tcW w:w="1305" w:type="dxa"/>
            <w:noWrap/>
            <w:hideMark/>
          </w:tcPr>
          <w:p w14:paraId="64EBDBB2" w14:textId="552143DF" w:rsidR="00C86147" w:rsidRPr="00C86147" w:rsidRDefault="00AD0B87" w:rsidP="00C86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2,3</w:t>
            </w:r>
          </w:p>
        </w:tc>
      </w:tr>
      <w:tr w:rsidR="00C86147" w:rsidRPr="00C86147" w14:paraId="2495AA60" w14:textId="77777777" w:rsidTr="00AD0B87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  <w:noWrap/>
            <w:hideMark/>
          </w:tcPr>
          <w:p w14:paraId="1D59D834" w14:textId="5F7D89CF" w:rsidR="00C86147" w:rsidRPr="00C86147" w:rsidRDefault="00C86147" w:rsidP="00C86147">
            <w:pPr>
              <w:rPr>
                <w:rFonts w:ascii="Calibri" w:hAnsi="Calibri" w:cs="Calibri"/>
                <w:color w:val="000000"/>
                <w:szCs w:val="22"/>
              </w:rPr>
            </w:pPr>
            <w:r w:rsidRPr="00C86147">
              <w:rPr>
                <w:rFonts w:ascii="Calibri" w:hAnsi="Calibri" w:cs="Calibri"/>
                <w:color w:val="000000"/>
                <w:szCs w:val="22"/>
              </w:rPr>
              <w:t>Pokrivenost uvoza izvozom</w:t>
            </w:r>
            <w:r w:rsidR="00AD0B87">
              <w:rPr>
                <w:rFonts w:ascii="Calibri" w:hAnsi="Calibri" w:cs="Calibri"/>
                <w:color w:val="000000"/>
                <w:szCs w:val="22"/>
              </w:rPr>
              <w:t xml:space="preserve">                                </w:t>
            </w:r>
            <w:r w:rsidR="00AD0B87" w:rsidRPr="00F15FED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58,8</w:t>
            </w:r>
          </w:p>
        </w:tc>
        <w:tc>
          <w:tcPr>
            <w:tcW w:w="1305" w:type="dxa"/>
            <w:noWrap/>
            <w:hideMark/>
          </w:tcPr>
          <w:p w14:paraId="1AC81025" w14:textId="5CEC9F87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63,3</w:t>
            </w:r>
          </w:p>
        </w:tc>
        <w:tc>
          <w:tcPr>
            <w:tcW w:w="1305" w:type="dxa"/>
            <w:noWrap/>
            <w:hideMark/>
          </w:tcPr>
          <w:p w14:paraId="08201956" w14:textId="022993A5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59,4</w:t>
            </w:r>
          </w:p>
        </w:tc>
        <w:tc>
          <w:tcPr>
            <w:tcW w:w="1305" w:type="dxa"/>
            <w:noWrap/>
            <w:hideMark/>
          </w:tcPr>
          <w:p w14:paraId="5278AD11" w14:textId="03548F28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-3,2</w:t>
            </w:r>
          </w:p>
        </w:tc>
        <w:tc>
          <w:tcPr>
            <w:tcW w:w="1305" w:type="dxa"/>
            <w:noWrap/>
            <w:hideMark/>
          </w:tcPr>
          <w:p w14:paraId="7A94412F" w14:textId="0B52A6E5" w:rsidR="00C86147" w:rsidRPr="00C86147" w:rsidRDefault="00AD0B87" w:rsidP="00C86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2,3</w:t>
            </w:r>
          </w:p>
        </w:tc>
      </w:tr>
    </w:tbl>
    <w:p w14:paraId="3C708E62" w14:textId="77777777" w:rsidR="005332D6" w:rsidRPr="00AC7A15" w:rsidRDefault="00C86147" w:rsidP="005332D6">
      <w:pPr>
        <w:jc w:val="both"/>
        <w:rPr>
          <w:sz w:val="20"/>
        </w:rPr>
      </w:pPr>
      <w:r w:rsidRPr="00AC7A15">
        <w:rPr>
          <w:sz w:val="20"/>
        </w:rPr>
        <w:t>Izvor: Podatak FZS, obrada Ministarstvo financija HBŽ</w:t>
      </w:r>
    </w:p>
    <w:p w14:paraId="45131015" w14:textId="77777777" w:rsidR="005332D6" w:rsidRDefault="00CF152E" w:rsidP="00CF152E">
      <w:pPr>
        <w:jc w:val="both"/>
      </w:pPr>
      <w:r>
        <w:tab/>
      </w:r>
    </w:p>
    <w:p w14:paraId="5137D10C" w14:textId="77777777" w:rsidR="0032403A" w:rsidRDefault="0032403A" w:rsidP="00CF152E">
      <w:pPr>
        <w:jc w:val="both"/>
      </w:pPr>
    </w:p>
    <w:p w14:paraId="1F1BCA62" w14:textId="77777777" w:rsidR="00AD0B87" w:rsidRPr="001124C1" w:rsidRDefault="00AD0B87" w:rsidP="00CF152E">
      <w:pPr>
        <w:jc w:val="both"/>
      </w:pPr>
    </w:p>
    <w:p w14:paraId="075CBE3D" w14:textId="206C8B32" w:rsidR="00C86147" w:rsidRPr="00CD44D7" w:rsidRDefault="00CD44D7" w:rsidP="001124C1">
      <w:pPr>
        <w:ind w:firstLine="708"/>
        <w:jc w:val="both"/>
        <w:rPr>
          <w:sz w:val="24"/>
          <w:szCs w:val="24"/>
        </w:rPr>
      </w:pPr>
      <w:r w:rsidRPr="00CD44D7">
        <w:rPr>
          <w:sz w:val="24"/>
          <w:szCs w:val="24"/>
        </w:rPr>
        <w:lastRenderedPageBreak/>
        <w:t>U četvrtom kvartalu 2025. godine, BDP Federacije BiH bilježi realni rast od 2,2% u odnosu na isti period prethodne godine. Nastavljen je pozitivan trend rasta u građevinarstvu i ostalim uslužnim djelatnostima. Turizam bilježi blagi rast broja noćenja na godišnjem nivou. Promet trgovaca na malo pokazuje kratkoročno ubrzavanje aktivnosti, uz istovremeno pojavu negativnog trenda u odnosu na isti period prethodne godine. Nakon blagog pada u trećem kvartalu, u četvrtom kvartalu u industrijskoj proizvodnji zabilježen je umjeren oporavak. Ukupno gledano, kretanja tokom godine ukazuju na oscilacije s blagim poboljšanjem na njenom kraju</w:t>
      </w:r>
      <w:r w:rsidR="00C86147" w:rsidRPr="00CD44D7">
        <w:rPr>
          <w:rStyle w:val="Referencafusnote"/>
          <w:sz w:val="24"/>
          <w:szCs w:val="24"/>
        </w:rPr>
        <w:footnoteReference w:id="4"/>
      </w:r>
    </w:p>
    <w:p w14:paraId="0BFADE04" w14:textId="447C64EB" w:rsidR="009665F2" w:rsidRPr="00CD44D7" w:rsidRDefault="00CD44D7" w:rsidP="00C86147">
      <w:pPr>
        <w:ind w:firstLine="708"/>
        <w:jc w:val="both"/>
        <w:rPr>
          <w:sz w:val="24"/>
          <w:szCs w:val="24"/>
          <w:highlight w:val="yellow"/>
        </w:rPr>
      </w:pPr>
      <w:r w:rsidRPr="00CD44D7">
        <w:rPr>
          <w:sz w:val="24"/>
          <w:szCs w:val="24"/>
        </w:rPr>
        <w:t>U četvrtom kvartalu 2025. godine, u odnosu na prethodni kvartal, ukupna sezonski prilagođena industrijska proizvodnja veća je za 1,4%. Zabilježen je rast ob</w:t>
      </w:r>
      <w:r w:rsidR="003301FF">
        <w:rPr>
          <w:sz w:val="24"/>
          <w:szCs w:val="24"/>
        </w:rPr>
        <w:t>ujma</w:t>
      </w:r>
      <w:r w:rsidRPr="00CD44D7">
        <w:rPr>
          <w:sz w:val="24"/>
          <w:szCs w:val="24"/>
        </w:rPr>
        <w:t xml:space="preserve"> industrijske proizvodnje u područjima Rudarstva (2,4%), Prerađivačke industrije (0,1%), te Proizvodnje i snabdijevanja električnom energijom i plinom (9,6%).</w:t>
      </w:r>
    </w:p>
    <w:p w14:paraId="266AFA4F" w14:textId="77777777" w:rsidR="00CF152E" w:rsidRPr="0054332E" w:rsidRDefault="00CF152E" w:rsidP="00CF152E">
      <w:pPr>
        <w:jc w:val="both"/>
        <w:rPr>
          <w:color w:val="FF0000"/>
          <w:sz w:val="24"/>
          <w:szCs w:val="24"/>
        </w:rPr>
      </w:pPr>
      <w:r w:rsidRPr="0054332E">
        <w:rPr>
          <w:color w:val="FF0000"/>
          <w:sz w:val="24"/>
          <w:szCs w:val="24"/>
        </w:rPr>
        <w:tab/>
      </w:r>
    </w:p>
    <w:p w14:paraId="46540A9E" w14:textId="7C22355F" w:rsidR="006A2E70" w:rsidRPr="00CD44D7" w:rsidRDefault="009665F2" w:rsidP="00CF152E">
      <w:pPr>
        <w:jc w:val="both"/>
        <w:rPr>
          <w:sz w:val="24"/>
          <w:szCs w:val="24"/>
        </w:rPr>
      </w:pPr>
      <w:r w:rsidRPr="0054332E">
        <w:rPr>
          <w:color w:val="FF0000"/>
          <w:sz w:val="24"/>
          <w:szCs w:val="24"/>
        </w:rPr>
        <w:tab/>
      </w:r>
      <w:r w:rsidR="00CD44D7" w:rsidRPr="00CD44D7">
        <w:rPr>
          <w:sz w:val="24"/>
          <w:szCs w:val="24"/>
        </w:rPr>
        <w:t>Prosječna mjesečna neto pla</w:t>
      </w:r>
      <w:r w:rsidR="003301FF">
        <w:rPr>
          <w:sz w:val="24"/>
          <w:szCs w:val="24"/>
        </w:rPr>
        <w:t>ća</w:t>
      </w:r>
      <w:r w:rsidR="00CD44D7" w:rsidRPr="00CD44D7">
        <w:rPr>
          <w:sz w:val="24"/>
          <w:szCs w:val="24"/>
        </w:rPr>
        <w:t xml:space="preserve"> u </w:t>
      </w:r>
      <w:r w:rsidR="003301FF">
        <w:rPr>
          <w:sz w:val="24"/>
          <w:szCs w:val="24"/>
        </w:rPr>
        <w:t>prosincu</w:t>
      </w:r>
      <w:r w:rsidR="00CD44D7" w:rsidRPr="00CD44D7">
        <w:rPr>
          <w:sz w:val="24"/>
          <w:szCs w:val="24"/>
        </w:rPr>
        <w:t xml:space="preserve"> 2025. godine iznosila je 1.664 KM, dok je prosječna bruto pla</w:t>
      </w:r>
      <w:r w:rsidR="003301FF">
        <w:rPr>
          <w:sz w:val="24"/>
          <w:szCs w:val="24"/>
        </w:rPr>
        <w:t>ća</w:t>
      </w:r>
      <w:r w:rsidR="00CD44D7" w:rsidRPr="00CD44D7">
        <w:rPr>
          <w:sz w:val="24"/>
          <w:szCs w:val="24"/>
        </w:rPr>
        <w:t xml:space="preserve"> u istom mjesecu iznosila 2.599 KM. U odnosu na isti period prethodne godine, prosječna neto pl</w:t>
      </w:r>
      <w:r w:rsidR="003301FF">
        <w:rPr>
          <w:sz w:val="24"/>
          <w:szCs w:val="24"/>
        </w:rPr>
        <w:t>aća</w:t>
      </w:r>
      <w:r w:rsidR="00CD44D7" w:rsidRPr="00CD44D7">
        <w:rPr>
          <w:sz w:val="24"/>
          <w:szCs w:val="24"/>
        </w:rPr>
        <w:t xml:space="preserve"> veća je za 236 KM, odnosno za 16,5%.</w:t>
      </w:r>
    </w:p>
    <w:p w14:paraId="55294435" w14:textId="77777777" w:rsidR="00CD44D7" w:rsidRPr="00CD44D7" w:rsidRDefault="00CD44D7" w:rsidP="00CF152E">
      <w:pPr>
        <w:jc w:val="both"/>
        <w:rPr>
          <w:color w:val="000000" w:themeColor="text1"/>
          <w:sz w:val="24"/>
          <w:szCs w:val="24"/>
        </w:rPr>
      </w:pPr>
    </w:p>
    <w:p w14:paraId="21282771" w14:textId="2E991D38" w:rsidR="0054332E" w:rsidRDefault="006A2E70" w:rsidP="00CF152E">
      <w:pPr>
        <w:jc w:val="both"/>
        <w:rPr>
          <w:sz w:val="24"/>
          <w:szCs w:val="24"/>
        </w:rPr>
      </w:pPr>
      <w:r w:rsidRPr="0054332E">
        <w:rPr>
          <w:color w:val="000000" w:themeColor="text1"/>
          <w:sz w:val="24"/>
          <w:szCs w:val="24"/>
        </w:rPr>
        <w:tab/>
        <w:t>Ono što možemo očekivat</w:t>
      </w:r>
      <w:r w:rsidR="0054332E" w:rsidRPr="0054332E">
        <w:rPr>
          <w:color w:val="000000" w:themeColor="text1"/>
          <w:sz w:val="24"/>
          <w:szCs w:val="24"/>
        </w:rPr>
        <w:t>i u srednjoročnom razdoblju 2024.-20</w:t>
      </w:r>
      <w:r w:rsidR="00E7402C">
        <w:rPr>
          <w:color w:val="000000" w:themeColor="text1"/>
          <w:sz w:val="24"/>
          <w:szCs w:val="24"/>
        </w:rPr>
        <w:t>27</w:t>
      </w:r>
      <w:r w:rsidRPr="0054332E">
        <w:rPr>
          <w:color w:val="000000" w:themeColor="text1"/>
          <w:sz w:val="24"/>
          <w:szCs w:val="24"/>
        </w:rPr>
        <w:t xml:space="preserve">. godina u Federaciji BIH je prosječna realna stopa rasta BDP-a od 3,0%. </w:t>
      </w:r>
      <w:r w:rsidRPr="0054332E">
        <w:rPr>
          <w:sz w:val="24"/>
          <w:szCs w:val="24"/>
        </w:rPr>
        <w:t>Obzirom da je inflacija uvoznog karaktera, te da snažno ovisi o daljnjem razvoju situacije vezane za energetsku krizu, daljnje kretanje inflacije biti će određeno vanjskim faktorima i u znatnoj mjeri utjecati će na domaća ekonomska zbivanja.</w:t>
      </w:r>
    </w:p>
    <w:p w14:paraId="584A99AA" w14:textId="77777777" w:rsidR="00E7402C" w:rsidRDefault="00E7402C" w:rsidP="00CF152E">
      <w:pPr>
        <w:jc w:val="both"/>
        <w:rPr>
          <w:color w:val="FF0000"/>
          <w:sz w:val="24"/>
          <w:szCs w:val="24"/>
        </w:rPr>
      </w:pPr>
    </w:p>
    <w:p w14:paraId="1C7DDDF0" w14:textId="77777777" w:rsidR="005C4B5C" w:rsidRPr="005C4B5C" w:rsidRDefault="005C4B5C" w:rsidP="005C4B5C">
      <w:pPr>
        <w:pStyle w:val="Naslov3"/>
      </w:pPr>
      <w:bookmarkStart w:id="39" w:name="_Toc232407827"/>
      <w:r w:rsidRPr="005C4B5C">
        <w:t>2.2.2. Rizici od projekcije prihoda u Federaciji BIH</w:t>
      </w:r>
      <w:bookmarkEnd w:id="39"/>
    </w:p>
    <w:p w14:paraId="23B80965" w14:textId="77777777" w:rsidR="005C4B5C" w:rsidRPr="009B1481" w:rsidRDefault="005C4B5C" w:rsidP="00CF152E">
      <w:pPr>
        <w:jc w:val="both"/>
        <w:rPr>
          <w:color w:val="FF0000"/>
          <w:sz w:val="24"/>
          <w:szCs w:val="24"/>
        </w:rPr>
      </w:pPr>
    </w:p>
    <w:bookmarkEnd w:id="7"/>
    <w:bookmarkEnd w:id="8"/>
    <w:bookmarkEnd w:id="9"/>
    <w:bookmarkEnd w:id="10"/>
    <w:p w14:paraId="664D2CEC" w14:textId="77777777" w:rsidR="006A2E70" w:rsidRPr="00DD546B" w:rsidRDefault="006A2E70" w:rsidP="006A2E70">
      <w:pPr>
        <w:ind w:firstLine="708"/>
        <w:jc w:val="both"/>
        <w:rPr>
          <w:sz w:val="24"/>
          <w:szCs w:val="24"/>
        </w:rPr>
      </w:pPr>
      <w:r w:rsidRPr="00DD546B">
        <w:rPr>
          <w:sz w:val="24"/>
          <w:szCs w:val="24"/>
        </w:rPr>
        <w:t xml:space="preserve">S obzirom da su rizici po projekcije najvećim dijelom vezani za vanjske faktore (situaciji vezanoj za rat i energetsku krizu), neizvjesnost povezana sa projekcijama na visokoj je razini. Razvoj događaja na ukrajinskom ratištu i rješavanje globalnih energetskih problema predstavljaju glavne rizike po načinjene projekcije. </w:t>
      </w:r>
    </w:p>
    <w:p w14:paraId="39C153A5" w14:textId="77777777" w:rsidR="006A2E70" w:rsidRPr="00DD546B" w:rsidRDefault="006A2E70" w:rsidP="006A2E70">
      <w:pPr>
        <w:ind w:firstLine="708"/>
        <w:jc w:val="both"/>
        <w:rPr>
          <w:sz w:val="24"/>
          <w:szCs w:val="24"/>
        </w:rPr>
      </w:pPr>
    </w:p>
    <w:p w14:paraId="48B2A8B9" w14:textId="77777777" w:rsidR="006A2E70" w:rsidRPr="00DD546B" w:rsidRDefault="006A2E70" w:rsidP="006A2E70">
      <w:pPr>
        <w:ind w:firstLine="708"/>
        <w:jc w:val="both"/>
        <w:rPr>
          <w:sz w:val="24"/>
          <w:szCs w:val="24"/>
        </w:rPr>
      </w:pPr>
      <w:r w:rsidRPr="00DD546B">
        <w:rPr>
          <w:sz w:val="24"/>
          <w:szCs w:val="24"/>
        </w:rPr>
        <w:t xml:space="preserve">S duge strane, na ostvarenje projekcija utjecati će i unutarnji faktori vezani za kompleksnu administrativnu organizaciju Federacije BiH, složen sustav donošenja odluka, spor tempo provođenja reformskih mjera i sl. Eventualna kašnjenja u provođenju strukturnih reformi mogla bi se negativno odraziti na gospodarski rast. Također, rizik koji se odnosi na migraciju stanovništva pogotovo aktivnog radnog stanovništva iz Federacije BiH u konačnici bi mogao imati negativan odraz na produktivnost te rezultirati sporijim rastom BDP – a od projiciranog. </w:t>
      </w:r>
    </w:p>
    <w:p w14:paraId="08FF9B80" w14:textId="77777777" w:rsidR="006A2E70" w:rsidRPr="00DD546B" w:rsidRDefault="006A2E70" w:rsidP="006A2E70">
      <w:pPr>
        <w:ind w:firstLine="708"/>
        <w:jc w:val="both"/>
        <w:rPr>
          <w:sz w:val="24"/>
          <w:szCs w:val="24"/>
        </w:rPr>
      </w:pPr>
    </w:p>
    <w:p w14:paraId="50FD2C41" w14:textId="77777777" w:rsidR="00CF152E" w:rsidRPr="006A2E70" w:rsidRDefault="006A2E70" w:rsidP="006A2E70">
      <w:pPr>
        <w:ind w:firstLine="708"/>
        <w:jc w:val="both"/>
        <w:rPr>
          <w:sz w:val="24"/>
          <w:szCs w:val="24"/>
        </w:rPr>
      </w:pPr>
      <w:r w:rsidRPr="00DD546B">
        <w:rPr>
          <w:sz w:val="24"/>
          <w:szCs w:val="24"/>
        </w:rPr>
        <w:t>Kao rizik po projekcije značajno je navesti i stabilnost u proizvodnji električne energije koji u znatnoj mjeri ovisi o hidrološkim prilikama. Naime, nepovoljne hidrološke prilike mogle bi se loše odraziti na ukupnu proizvodnju električne energij</w:t>
      </w:r>
      <w:r w:rsidR="007E4C73" w:rsidRPr="00DD546B">
        <w:rPr>
          <w:sz w:val="24"/>
          <w:szCs w:val="24"/>
        </w:rPr>
        <w:t>e, a samim tim i na fizički obujam</w:t>
      </w:r>
      <w:r w:rsidRPr="00DD546B">
        <w:rPr>
          <w:sz w:val="24"/>
          <w:szCs w:val="24"/>
        </w:rPr>
        <w:t xml:space="preserve"> industrijske proizvodnje, a što bi opet imalo negativan odraz na ostale komponente BDP – a.</w:t>
      </w:r>
    </w:p>
    <w:p w14:paraId="1B97A0A4" w14:textId="77777777" w:rsidR="00CF152E" w:rsidRPr="00CF152E" w:rsidRDefault="00CF152E" w:rsidP="00CF152E"/>
    <w:p w14:paraId="22FA840E" w14:textId="77777777" w:rsidR="00CF152E" w:rsidRPr="00CF152E" w:rsidRDefault="00CF152E" w:rsidP="00CF152E"/>
    <w:p w14:paraId="7FA8C3B5" w14:textId="77777777" w:rsidR="00CF152E" w:rsidRPr="00CF152E" w:rsidRDefault="00CF152E" w:rsidP="00CF152E"/>
    <w:p w14:paraId="0868E08E" w14:textId="77777777" w:rsidR="00CF152E" w:rsidRPr="00CF152E" w:rsidRDefault="00CF152E" w:rsidP="00CF152E"/>
    <w:p w14:paraId="28C3D334" w14:textId="77777777" w:rsidR="00DD546B" w:rsidRDefault="00DD546B">
      <w:pPr>
        <w:spacing w:after="200" w:line="276" w:lineRule="auto"/>
      </w:pPr>
    </w:p>
    <w:p w14:paraId="7B8A3D44" w14:textId="77777777" w:rsidR="00CF152E" w:rsidRDefault="00CF152E" w:rsidP="00CF152E">
      <w:pPr>
        <w:pStyle w:val="Naslov1"/>
      </w:pPr>
      <w:bookmarkStart w:id="40" w:name="_Toc129414213"/>
      <w:bookmarkStart w:id="41" w:name="_Toc129414334"/>
      <w:bookmarkStart w:id="42" w:name="_Toc129414335"/>
      <w:bookmarkStart w:id="43" w:name="_Toc190228389"/>
      <w:bookmarkStart w:id="44" w:name="_Toc191048977"/>
      <w:bookmarkStart w:id="45" w:name="_Toc197340775"/>
      <w:bookmarkStart w:id="46" w:name="_Toc106015338"/>
      <w:bookmarkStart w:id="47" w:name="_Toc232407828"/>
      <w:r>
        <w:lastRenderedPageBreak/>
        <w:t xml:space="preserve">Poglavlje 3: Srednjoročna fiskalna </w:t>
      </w:r>
      <w:bookmarkEnd w:id="40"/>
      <w:bookmarkEnd w:id="41"/>
      <w:bookmarkEnd w:id="42"/>
      <w:bookmarkEnd w:id="43"/>
      <w:r>
        <w:t>strategija</w:t>
      </w:r>
      <w:bookmarkEnd w:id="44"/>
      <w:bookmarkEnd w:id="45"/>
      <w:bookmarkEnd w:id="46"/>
      <w:bookmarkEnd w:id="47"/>
    </w:p>
    <w:p w14:paraId="015D4F92" w14:textId="77777777" w:rsidR="00CF152E" w:rsidRPr="00AA048F" w:rsidRDefault="00CF152E" w:rsidP="00CF152E"/>
    <w:p w14:paraId="73C23CDF" w14:textId="77777777" w:rsidR="00CF152E" w:rsidRPr="005C4B5C" w:rsidRDefault="00CF152E" w:rsidP="00CF152E">
      <w:pPr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14:paraId="7DA636FD" w14:textId="77777777" w:rsidR="00CF152E" w:rsidRPr="00A315B4" w:rsidRDefault="00CF152E" w:rsidP="00CF152E">
      <w:pPr>
        <w:ind w:firstLine="708"/>
        <w:jc w:val="both"/>
        <w:rPr>
          <w:spacing w:val="-2"/>
          <w:sz w:val="24"/>
          <w:szCs w:val="24"/>
        </w:rPr>
      </w:pPr>
      <w:r w:rsidRPr="00A315B4">
        <w:rPr>
          <w:spacing w:val="-2"/>
          <w:sz w:val="24"/>
          <w:szCs w:val="24"/>
        </w:rPr>
        <w:t>Ovo poglavlje sadrži projekcije prihoda za koje se očekuje da će biti dostupni za financiranje javne potrošnje u srednjoročnom razdoblju, koje se temelje na prethodno navedenim makroekonomskim pokazateljima i postojećim poreznim politikama. Osim toga, treće poglavlje daje opis fiskalnog okruženja i fiskalne strategije - pozicije za koju se Vlada Županije opredijelila.</w:t>
      </w:r>
    </w:p>
    <w:p w14:paraId="6C987694" w14:textId="77777777" w:rsidR="00CF152E" w:rsidRPr="00A315B4" w:rsidRDefault="00CF152E" w:rsidP="00CF152E">
      <w:pPr>
        <w:jc w:val="both"/>
        <w:rPr>
          <w:spacing w:val="-2"/>
          <w:sz w:val="24"/>
          <w:szCs w:val="24"/>
        </w:rPr>
      </w:pPr>
    </w:p>
    <w:p w14:paraId="3009F08C" w14:textId="3B224415" w:rsidR="00CF152E" w:rsidRPr="00A315B4" w:rsidRDefault="00CF152E" w:rsidP="0040767F">
      <w:pPr>
        <w:ind w:firstLine="708"/>
        <w:jc w:val="both"/>
        <w:rPr>
          <w:spacing w:val="-2"/>
          <w:sz w:val="24"/>
          <w:szCs w:val="24"/>
        </w:rPr>
      </w:pPr>
      <w:r w:rsidRPr="00A315B4">
        <w:rPr>
          <w:spacing w:val="-2"/>
          <w:sz w:val="24"/>
          <w:szCs w:val="24"/>
        </w:rPr>
        <w:t>Projekcije prihoda Hercegbosanske županije</w:t>
      </w:r>
      <w:r w:rsidR="005C6709" w:rsidRPr="00A315B4">
        <w:rPr>
          <w:spacing w:val="-2"/>
          <w:sz w:val="24"/>
          <w:szCs w:val="24"/>
        </w:rPr>
        <w:t xml:space="preserve"> za razdoblje 202</w:t>
      </w:r>
      <w:r w:rsidR="00E7402C">
        <w:rPr>
          <w:spacing w:val="-2"/>
          <w:sz w:val="24"/>
          <w:szCs w:val="24"/>
        </w:rPr>
        <w:t>7</w:t>
      </w:r>
      <w:r w:rsidR="005C6709" w:rsidRPr="00A315B4">
        <w:rPr>
          <w:spacing w:val="-2"/>
          <w:sz w:val="24"/>
          <w:szCs w:val="24"/>
        </w:rPr>
        <w:t>.-202</w:t>
      </w:r>
      <w:r w:rsidR="00E7402C">
        <w:rPr>
          <w:spacing w:val="-2"/>
          <w:sz w:val="24"/>
          <w:szCs w:val="24"/>
        </w:rPr>
        <w:t>9</w:t>
      </w:r>
      <w:r w:rsidR="00DD14BB" w:rsidRPr="00A315B4">
        <w:rPr>
          <w:spacing w:val="-2"/>
          <w:sz w:val="24"/>
          <w:szCs w:val="24"/>
        </w:rPr>
        <w:t>. godine</w:t>
      </w:r>
      <w:r w:rsidRPr="00A315B4">
        <w:rPr>
          <w:spacing w:val="-2"/>
          <w:sz w:val="24"/>
          <w:szCs w:val="24"/>
        </w:rPr>
        <w:t xml:space="preserve"> urađene su na temelju smjernica dostavljenih od strane Federalnog ministarstva financija.</w:t>
      </w:r>
      <w:r w:rsidR="0040767F" w:rsidRPr="00A315B4">
        <w:rPr>
          <w:spacing w:val="-2"/>
          <w:sz w:val="24"/>
          <w:szCs w:val="24"/>
        </w:rPr>
        <w:t xml:space="preserve"> </w:t>
      </w:r>
      <w:r w:rsidRPr="00A315B4">
        <w:rPr>
          <w:spacing w:val="-2"/>
          <w:sz w:val="24"/>
          <w:szCs w:val="24"/>
        </w:rPr>
        <w:t xml:space="preserve">Na bazi dostavljenih projekcija </w:t>
      </w:r>
      <w:r w:rsidR="005C6709" w:rsidRPr="00A315B4">
        <w:rPr>
          <w:spacing w:val="-2"/>
          <w:sz w:val="24"/>
          <w:szCs w:val="24"/>
        </w:rPr>
        <w:t xml:space="preserve">prihoda </w:t>
      </w:r>
      <w:r w:rsidRPr="00A315B4">
        <w:rPr>
          <w:spacing w:val="-2"/>
          <w:sz w:val="24"/>
          <w:szCs w:val="24"/>
        </w:rPr>
        <w:t>od strane Federalnog ministarstva financija (</w:t>
      </w:r>
      <w:r w:rsidR="005C6709" w:rsidRPr="00A315B4">
        <w:rPr>
          <w:sz w:val="24"/>
          <w:szCs w:val="24"/>
        </w:rPr>
        <w:t>broj:05-12-</w:t>
      </w:r>
      <w:r w:rsidR="00E7402C">
        <w:rPr>
          <w:sz w:val="24"/>
          <w:szCs w:val="24"/>
        </w:rPr>
        <w:t>5-3976/26-1</w:t>
      </w:r>
      <w:r w:rsidR="005C6709" w:rsidRPr="00A315B4">
        <w:rPr>
          <w:spacing w:val="-2"/>
          <w:sz w:val="24"/>
          <w:szCs w:val="24"/>
        </w:rPr>
        <w:t xml:space="preserve"> od 1</w:t>
      </w:r>
      <w:r w:rsidR="00E7402C">
        <w:rPr>
          <w:spacing w:val="-2"/>
          <w:sz w:val="24"/>
          <w:szCs w:val="24"/>
        </w:rPr>
        <w:t>4</w:t>
      </w:r>
      <w:r w:rsidR="005C6709" w:rsidRPr="00A315B4">
        <w:rPr>
          <w:spacing w:val="-2"/>
          <w:sz w:val="24"/>
          <w:szCs w:val="24"/>
        </w:rPr>
        <w:t>.05.202</w:t>
      </w:r>
      <w:r w:rsidR="00E7402C">
        <w:rPr>
          <w:spacing w:val="-2"/>
          <w:sz w:val="24"/>
          <w:szCs w:val="24"/>
        </w:rPr>
        <w:t>6</w:t>
      </w:r>
      <w:r w:rsidRPr="00A315B4">
        <w:rPr>
          <w:spacing w:val="-2"/>
          <w:sz w:val="24"/>
          <w:szCs w:val="24"/>
        </w:rPr>
        <w:t>. godine</w:t>
      </w:r>
      <w:r w:rsidR="003301FF">
        <w:rPr>
          <w:spacing w:val="-2"/>
          <w:sz w:val="24"/>
          <w:szCs w:val="24"/>
        </w:rPr>
        <w:t>)</w:t>
      </w:r>
      <w:r w:rsidRPr="00A315B4">
        <w:rPr>
          <w:spacing w:val="-2"/>
          <w:sz w:val="24"/>
          <w:szCs w:val="24"/>
        </w:rPr>
        <w:t xml:space="preserve">  kao i pokazatelja kretanja prihoda Županije u prethodnom razdoblju Ministarstvo financija Hercegbosanske županije uradilo je projekcije pr</w:t>
      </w:r>
      <w:r w:rsidR="005C6709" w:rsidRPr="00A315B4">
        <w:rPr>
          <w:spacing w:val="-2"/>
          <w:sz w:val="24"/>
          <w:szCs w:val="24"/>
        </w:rPr>
        <w:t>ihoda Županije za razdoblje 202</w:t>
      </w:r>
      <w:r w:rsidR="00E7402C">
        <w:rPr>
          <w:spacing w:val="-2"/>
          <w:sz w:val="24"/>
          <w:szCs w:val="24"/>
        </w:rPr>
        <w:t>7</w:t>
      </w:r>
      <w:r w:rsidR="005C6709" w:rsidRPr="00A315B4">
        <w:rPr>
          <w:spacing w:val="-2"/>
          <w:sz w:val="24"/>
          <w:szCs w:val="24"/>
        </w:rPr>
        <w:t>.-202</w:t>
      </w:r>
      <w:r w:rsidR="00E7402C">
        <w:rPr>
          <w:spacing w:val="-2"/>
          <w:sz w:val="24"/>
          <w:szCs w:val="24"/>
        </w:rPr>
        <w:t>9</w:t>
      </w:r>
      <w:r w:rsidRPr="00A315B4">
        <w:rPr>
          <w:spacing w:val="-2"/>
          <w:sz w:val="24"/>
          <w:szCs w:val="24"/>
        </w:rPr>
        <w:t>. godine.</w:t>
      </w:r>
    </w:p>
    <w:p w14:paraId="085DEA2D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</w:rPr>
      </w:pPr>
    </w:p>
    <w:p w14:paraId="15ED867C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</w:rPr>
      </w:pPr>
    </w:p>
    <w:p w14:paraId="544CF71F" w14:textId="66CE9605" w:rsidR="00CF152E" w:rsidRPr="00621D74" w:rsidRDefault="00CF152E" w:rsidP="00CF152E">
      <w:pPr>
        <w:pStyle w:val="Naslov2"/>
      </w:pPr>
      <w:bookmarkStart w:id="48" w:name="_Toc423268489"/>
      <w:bookmarkStart w:id="49" w:name="_Toc423268746"/>
      <w:bookmarkStart w:id="50" w:name="_Toc106015339"/>
      <w:bookmarkStart w:id="51" w:name="_Toc360184936"/>
      <w:bookmarkStart w:id="52" w:name="_Toc129414337"/>
      <w:bookmarkStart w:id="53" w:name="_Toc190228391"/>
      <w:bookmarkStart w:id="54" w:name="_Toc191048980"/>
      <w:bookmarkStart w:id="55" w:name="_Toc197340778"/>
      <w:bookmarkStart w:id="56" w:name="_Toc232407829"/>
      <w:r>
        <w:t xml:space="preserve">3.1. </w:t>
      </w:r>
      <w:r w:rsidRPr="00621D74">
        <w:t>Osnovne pretpostavke i ciljevi makroekonomske politike BiH i</w:t>
      </w:r>
      <w:bookmarkStart w:id="57" w:name="_Toc423268490"/>
      <w:bookmarkStart w:id="58" w:name="_Toc423268747"/>
      <w:bookmarkEnd w:id="48"/>
      <w:bookmarkEnd w:id="49"/>
      <w:r>
        <w:t xml:space="preserve"> </w:t>
      </w:r>
      <w:r w:rsidR="0086552C">
        <w:t>Federacije BiH u  razdoblju 202</w:t>
      </w:r>
      <w:r w:rsidR="00E7402C">
        <w:t>7</w:t>
      </w:r>
      <w:r w:rsidR="0086552C">
        <w:t>. – 202</w:t>
      </w:r>
      <w:r w:rsidR="00E7402C">
        <w:t>9</w:t>
      </w:r>
      <w:r w:rsidRPr="00621D74">
        <w:t>. godin</w:t>
      </w:r>
      <w:bookmarkEnd w:id="50"/>
      <w:bookmarkEnd w:id="57"/>
      <w:bookmarkEnd w:id="58"/>
      <w:r w:rsidR="00DD14BB">
        <w:t>e</w:t>
      </w:r>
      <w:bookmarkEnd w:id="56"/>
    </w:p>
    <w:p w14:paraId="27B14352" w14:textId="77777777" w:rsidR="00CF152E" w:rsidRPr="00EA5ACB" w:rsidRDefault="00CF152E" w:rsidP="00CF152E">
      <w:pPr>
        <w:pStyle w:val="Naslov2"/>
      </w:pPr>
    </w:p>
    <w:p w14:paraId="56705936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Pored makroekonomskih pokazatelja i postojeće porezne po</w:t>
      </w:r>
      <w:r w:rsidR="005C6709" w:rsidRPr="00A315B4">
        <w:rPr>
          <w:sz w:val="24"/>
          <w:szCs w:val="24"/>
        </w:rPr>
        <w:t xml:space="preserve">litike u ovom poglavlju su date </w:t>
      </w:r>
      <w:r w:rsidRPr="00A315B4">
        <w:rPr>
          <w:sz w:val="24"/>
          <w:szCs w:val="24"/>
        </w:rPr>
        <w:t>projekcije prihoda Hercegbosanske županije koje je moguće ostvariti za financiranje javne potrošnje u toku srednjoročnog razdoblja.</w:t>
      </w:r>
    </w:p>
    <w:p w14:paraId="2F1B3DD7" w14:textId="77777777" w:rsidR="005C4B5C" w:rsidRDefault="005C4B5C" w:rsidP="00CF152E">
      <w:pPr>
        <w:ind w:firstLine="708"/>
        <w:jc w:val="both"/>
        <w:rPr>
          <w:color w:val="000000" w:themeColor="text1"/>
          <w:sz w:val="24"/>
          <w:szCs w:val="24"/>
        </w:rPr>
      </w:pPr>
    </w:p>
    <w:p w14:paraId="4320370C" w14:textId="77777777" w:rsidR="005C4B5C" w:rsidRPr="00BC0405" w:rsidRDefault="005C4B5C" w:rsidP="00CF152E">
      <w:pPr>
        <w:ind w:firstLine="708"/>
        <w:jc w:val="both"/>
      </w:pPr>
      <w:r w:rsidRPr="00BC0405">
        <w:rPr>
          <w:sz w:val="24"/>
          <w:szCs w:val="24"/>
        </w:rPr>
        <w:t>Kandida</w:t>
      </w:r>
      <w:r w:rsidR="001A1634" w:rsidRPr="00BC0405">
        <w:rPr>
          <w:sz w:val="24"/>
          <w:szCs w:val="24"/>
        </w:rPr>
        <w:t>cijski</w:t>
      </w:r>
      <w:r w:rsidRPr="00BC0405">
        <w:rPr>
          <w:sz w:val="24"/>
          <w:szCs w:val="24"/>
        </w:rPr>
        <w:t xml:space="preserve"> status za članstvo u EU koji je Bosna i Hercegovina stekla u prosincu 2022. godine, zahtjeva nove iskorake te intenziviranje rada na daljnjoj realizaciji mjera koje vode ka konačnom ostvarivanju cilja. Stoga su i ekonomska i fiskalna politika Federacije BiH u narednom periodu usmjerene ka implementaciji strukturnih reformi potrebnih za pristupanje EU. Strukturne reforme podrazumijevaju promjenu ustroja gospodarstva tj. institucionalnog i regulacijskog okvira poslovanja. Njihova osnovna svrha jeste osnaživanje gospodarstva i ostvarivanje uravnoteženog potencijalnog rasta</w:t>
      </w:r>
      <w:r w:rsidRPr="00BC0405">
        <w:t>.</w:t>
      </w:r>
    </w:p>
    <w:p w14:paraId="45ECAE50" w14:textId="77777777" w:rsidR="007B4A12" w:rsidRPr="00A315B4" w:rsidRDefault="007B4A12" w:rsidP="00CF152E">
      <w:pPr>
        <w:ind w:firstLine="708"/>
        <w:jc w:val="both"/>
        <w:rPr>
          <w:highlight w:val="yellow"/>
        </w:rPr>
      </w:pPr>
    </w:p>
    <w:p w14:paraId="23E7FC92" w14:textId="77777777" w:rsidR="007B4A12" w:rsidRPr="00BC0405" w:rsidRDefault="007B4A12" w:rsidP="00CF152E">
      <w:pPr>
        <w:ind w:firstLine="708"/>
        <w:jc w:val="both"/>
        <w:rPr>
          <w:sz w:val="24"/>
          <w:szCs w:val="24"/>
        </w:rPr>
      </w:pPr>
      <w:r w:rsidRPr="00BC0405">
        <w:rPr>
          <w:sz w:val="24"/>
          <w:szCs w:val="24"/>
        </w:rPr>
        <w:t>Ekonomska i fiskalna politika Vlade FBiH u srednjoročnom razdoblju povezane su sa strateškim pravcima usmjerenim ka postizanju fiskalne održivosti u skladu sa kriterijima EU. Postizanje fiskalne održivosti podrazumijeva da država mora biti sposobna dugoročno održati svoju potrošnju, poreze i druge politike bez ugrožavanja solventnosti ili neplaćanja svojih obaveza. Jedan od načina osnaživanja fiskalne održivosti je postizanje fiskalne konsolidacije tj. smanjenje proračunskog deficita te uravnoteženje proračuna usklađivanjem prihoda i rashoda.</w:t>
      </w:r>
    </w:p>
    <w:p w14:paraId="15D127C9" w14:textId="77777777" w:rsidR="007B4A12" w:rsidRPr="00A315B4" w:rsidRDefault="007B4A12" w:rsidP="00CF152E">
      <w:pPr>
        <w:ind w:firstLine="708"/>
        <w:jc w:val="both"/>
        <w:rPr>
          <w:sz w:val="24"/>
          <w:szCs w:val="24"/>
          <w:highlight w:val="yellow"/>
        </w:rPr>
      </w:pPr>
    </w:p>
    <w:p w14:paraId="13F00D15" w14:textId="77777777" w:rsidR="007B4A12" w:rsidRPr="00BC0405" w:rsidRDefault="007B4A12" w:rsidP="00CF152E">
      <w:pPr>
        <w:ind w:firstLine="708"/>
        <w:jc w:val="both"/>
        <w:rPr>
          <w:color w:val="000000" w:themeColor="text1"/>
          <w:sz w:val="24"/>
          <w:szCs w:val="24"/>
        </w:rPr>
      </w:pPr>
      <w:r w:rsidRPr="00BC0405">
        <w:rPr>
          <w:sz w:val="24"/>
          <w:szCs w:val="24"/>
        </w:rPr>
        <w:t>Budući da kontrola i transparentnost trošenja javih sredstava predstavljaju bitan preduvjet za održivost javnih financija Vlada Federacije BiH namjerava u narednom periodu uključiti sve institucije koje se financiraju iz proračuna, a do sada nisu bile uključene u jedinstveni trezorski sustav. Stoga je predviđeno uključiti izvanproračunske fondove i proračune županija u proračun Federacije BiH, te županijske direkcije za putove u proračun županija. Prvenstveno je planirano uključiti Zavod za zapošljavanje i županijske službe za zapošljavanje u proračun Federacije BiH odnosno proračune županija, a sve u skladu sa Strategijom reforme upravljanja javnim financija u Federaciji BiH.</w:t>
      </w:r>
    </w:p>
    <w:p w14:paraId="7B32A7E8" w14:textId="77777777" w:rsidR="00CF152E" w:rsidRPr="00BC0405" w:rsidRDefault="00CF152E" w:rsidP="00CF152E">
      <w:pPr>
        <w:jc w:val="both"/>
        <w:rPr>
          <w:color w:val="FF0000"/>
          <w:sz w:val="24"/>
          <w:szCs w:val="24"/>
        </w:rPr>
      </w:pPr>
    </w:p>
    <w:bookmarkEnd w:id="51"/>
    <w:p w14:paraId="616061D8" w14:textId="77777777" w:rsidR="00472F00" w:rsidRDefault="00472F00" w:rsidP="00472F00">
      <w:pPr>
        <w:autoSpaceDE w:val="0"/>
        <w:autoSpaceDN w:val="0"/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472F00">
        <w:rPr>
          <w:sz w:val="24"/>
          <w:szCs w:val="24"/>
        </w:rPr>
        <w:lastRenderedPageBreak/>
        <w:t xml:space="preserve">Osnovni prioriteti Vlade Federacije BiH u narednom srednjoročnom periodu, bit će usmjereni na kreiranje povoljnijeg poslovnog ambijenta, poticanje i rast privatnih i javnih investicija što bi trebalo biti podržano kroz izdvajanje većih iznosa sredstava iz </w:t>
      </w:r>
      <w:r>
        <w:rPr>
          <w:sz w:val="24"/>
          <w:szCs w:val="24"/>
        </w:rPr>
        <w:t>Proračuna</w:t>
      </w:r>
      <w:r w:rsidRPr="00472F00">
        <w:rPr>
          <w:sz w:val="24"/>
          <w:szCs w:val="24"/>
        </w:rPr>
        <w:t xml:space="preserve"> FBiH za </w:t>
      </w:r>
      <w:r>
        <w:rPr>
          <w:sz w:val="24"/>
          <w:szCs w:val="24"/>
        </w:rPr>
        <w:t>financiranje</w:t>
      </w:r>
      <w:r w:rsidRPr="00472F00">
        <w:rPr>
          <w:sz w:val="24"/>
          <w:szCs w:val="24"/>
        </w:rPr>
        <w:t xml:space="preserve"> infrastrukturnih projekata, nastavak izgradnje autocesta i brzih cesta, kao i unapređenje avio i željezničkog </w:t>
      </w:r>
      <w:r>
        <w:rPr>
          <w:sz w:val="24"/>
          <w:szCs w:val="24"/>
        </w:rPr>
        <w:t>prometa</w:t>
      </w:r>
      <w:r w:rsidRPr="00472F00">
        <w:rPr>
          <w:sz w:val="24"/>
          <w:szCs w:val="24"/>
        </w:rPr>
        <w:t xml:space="preserve"> FBiH.</w:t>
      </w:r>
    </w:p>
    <w:p w14:paraId="49969155" w14:textId="77777777" w:rsidR="00472F00" w:rsidRDefault="00472F00" w:rsidP="00472F00">
      <w:pPr>
        <w:autoSpaceDE w:val="0"/>
        <w:autoSpaceDN w:val="0"/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472F00">
        <w:rPr>
          <w:sz w:val="24"/>
          <w:szCs w:val="24"/>
        </w:rPr>
        <w:t xml:space="preserve">Među prioritetima je i postepeni prelazak na zelenu i kružnu ekonomiju, digitalnu transformaciju industrije i malih i srednjih </w:t>
      </w:r>
      <w:r>
        <w:rPr>
          <w:sz w:val="24"/>
          <w:szCs w:val="24"/>
        </w:rPr>
        <w:t>poduzeća</w:t>
      </w:r>
      <w:r w:rsidRPr="00472F00">
        <w:rPr>
          <w:sz w:val="24"/>
          <w:szCs w:val="24"/>
        </w:rPr>
        <w:t xml:space="preserve"> kroz uspostavu ekonomskih instrumenata u oblasti okoliša i ublažavanju klimatskih promjena. Porezne politike u srednjoročnom periodu bi trebale promovirati i održiv i inkluzivan rast na nivou FBiH i u svim </w:t>
      </w:r>
      <w:r>
        <w:rPr>
          <w:sz w:val="24"/>
          <w:szCs w:val="24"/>
        </w:rPr>
        <w:t>županijama</w:t>
      </w:r>
      <w:r w:rsidRPr="00472F00">
        <w:rPr>
          <w:sz w:val="24"/>
          <w:szCs w:val="24"/>
        </w:rPr>
        <w:t xml:space="preserve"> i jedinicama lokalne uprave s fokusom na zaštitu radnih mjesta, povećanje produktivnosti poslovnih subjekata i smanjenje ili ukidanje </w:t>
      </w:r>
      <w:r w:rsidR="0070430E">
        <w:rPr>
          <w:sz w:val="24"/>
          <w:szCs w:val="24"/>
        </w:rPr>
        <w:t xml:space="preserve">troškova, naknada i taksi koje opterećuju </w:t>
      </w:r>
      <w:r>
        <w:rPr>
          <w:sz w:val="24"/>
          <w:szCs w:val="24"/>
        </w:rPr>
        <w:t>gospodarsku</w:t>
      </w:r>
      <w:r w:rsidRPr="00472F00">
        <w:rPr>
          <w:sz w:val="24"/>
          <w:szCs w:val="24"/>
        </w:rPr>
        <w:t xml:space="preserve"> aktivnosti.</w:t>
      </w:r>
    </w:p>
    <w:p w14:paraId="30523901" w14:textId="77777777" w:rsidR="00472F00" w:rsidRDefault="00472F00" w:rsidP="00472F00">
      <w:pPr>
        <w:autoSpaceDE w:val="0"/>
        <w:autoSpaceDN w:val="0"/>
        <w:adjustRightInd w:val="0"/>
        <w:spacing w:before="120" w:after="120"/>
        <w:ind w:firstLine="708"/>
        <w:jc w:val="both"/>
        <w:rPr>
          <w:sz w:val="24"/>
          <w:szCs w:val="24"/>
        </w:rPr>
      </w:pPr>
      <w:r w:rsidRPr="00472F00">
        <w:rPr>
          <w:sz w:val="24"/>
          <w:szCs w:val="24"/>
        </w:rPr>
        <w:t xml:space="preserve">U osnovnim prioritetima je naznačeno i da će se, u svrhu zaštite radnih mjesta, potencirati reforma opterećenja rada kroz izmjene pravnog okvira poreza na dohodak i obaveznih doprinosa, a u narednom periodu planirano je iznalaženje novih prijedloga o ovom pitanju koje će uzeti u obzir preliminarne analize </w:t>
      </w:r>
      <w:r>
        <w:rPr>
          <w:sz w:val="24"/>
          <w:szCs w:val="24"/>
        </w:rPr>
        <w:t>utjecaja</w:t>
      </w:r>
      <w:r w:rsidRPr="00472F00">
        <w:rPr>
          <w:sz w:val="24"/>
          <w:szCs w:val="24"/>
        </w:rPr>
        <w:t xml:space="preserve"> tih propisa na zaposlenike, poslodavce i </w:t>
      </w:r>
      <w:r>
        <w:rPr>
          <w:sz w:val="24"/>
          <w:szCs w:val="24"/>
        </w:rPr>
        <w:t>Proračune</w:t>
      </w:r>
      <w:r w:rsidRPr="00472F00">
        <w:rPr>
          <w:sz w:val="24"/>
          <w:szCs w:val="24"/>
        </w:rPr>
        <w:t xml:space="preserve"> u FBiH.</w:t>
      </w:r>
    </w:p>
    <w:p w14:paraId="5D61AE02" w14:textId="28DD2F51" w:rsidR="00472F00" w:rsidRDefault="00472F00" w:rsidP="00472F00">
      <w:pPr>
        <w:autoSpaceDE w:val="0"/>
        <w:autoSpaceDN w:val="0"/>
        <w:adjustRightInd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472F00">
        <w:rPr>
          <w:sz w:val="24"/>
          <w:szCs w:val="24"/>
        </w:rPr>
        <w:t>ad su u pitanju mjere koja će ut</w:t>
      </w:r>
      <w:r w:rsidR="003301FF">
        <w:rPr>
          <w:sz w:val="24"/>
          <w:szCs w:val="24"/>
        </w:rPr>
        <w:t>jecati</w:t>
      </w:r>
      <w:r w:rsidRPr="00472F00">
        <w:rPr>
          <w:sz w:val="24"/>
          <w:szCs w:val="24"/>
        </w:rPr>
        <w:t xml:space="preserve"> na poboljšanje poslovnog okruženja koja će posljedično imati povećanje produktivnosti poslovnih subjekata, u narednom </w:t>
      </w:r>
      <w:r>
        <w:rPr>
          <w:sz w:val="24"/>
          <w:szCs w:val="24"/>
        </w:rPr>
        <w:t>periodu nastaviti iznalaženje r</w:t>
      </w:r>
      <w:r w:rsidRPr="00472F00">
        <w:rPr>
          <w:sz w:val="24"/>
          <w:szCs w:val="24"/>
        </w:rPr>
        <w:t>ješenja unapređenja rada i digitalizacije Porezne uprave s naglaskom na potrebu provedbe mjera administrativnog unapređenja pružanja javnih usluga kroz fluidan protok informacija kroz IT sistem i sve oblike razmjene informacija i tehnološki naprednijim procesom fiskalizacije.</w:t>
      </w:r>
    </w:p>
    <w:p w14:paraId="075D69FB" w14:textId="77777777" w:rsidR="00472F00" w:rsidRPr="00472F00" w:rsidRDefault="00472F00" w:rsidP="00CF152E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14:paraId="25B78133" w14:textId="77777777" w:rsidR="00CF152E" w:rsidRPr="003D0D93" w:rsidRDefault="00CF152E" w:rsidP="003D0D93">
      <w:pPr>
        <w:pStyle w:val="Naslov2"/>
      </w:pPr>
      <w:bookmarkStart w:id="59" w:name="_Toc106015340"/>
      <w:bookmarkStart w:id="60" w:name="_Toc232407830"/>
      <w:r w:rsidRPr="003D0D93">
        <w:t xml:space="preserve">3.2. Neizravni porezi koji se prikupljaju na račun Uprave za </w:t>
      </w:r>
      <w:bookmarkEnd w:id="52"/>
      <w:r w:rsidRPr="003D0D93">
        <w:t>neizravno oporezivanje</w:t>
      </w:r>
      <w:bookmarkEnd w:id="53"/>
      <w:bookmarkEnd w:id="54"/>
      <w:bookmarkEnd w:id="55"/>
      <w:bookmarkEnd w:id="59"/>
      <w:bookmarkEnd w:id="60"/>
    </w:p>
    <w:p w14:paraId="0BE45227" w14:textId="77777777" w:rsidR="00CF152E" w:rsidRPr="00F641B5" w:rsidRDefault="00CF152E" w:rsidP="00CF152E">
      <w:pPr>
        <w:rPr>
          <w:color w:val="FF0000"/>
        </w:rPr>
      </w:pPr>
    </w:p>
    <w:p w14:paraId="513066BA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Prihodi koje prikuplja Uprava za neizravno oporezivanje uključuju PDV, carinske troškove, trošarine, cestarinu te ostale prihode i pristojbe koje ostvaruje Uprava u okviru svojih ingerencija. Ovi prihodi se uplaćuju na Jedinstveni račun, a raspodjela se vrši prema članku 21. Zakona o sustavu neizravnog oporezivanja u BiH, („Službeni glasnik BiH“, broj: 44/03, 52/04, 34/07, 49/09 i 32/13).</w:t>
      </w:r>
    </w:p>
    <w:p w14:paraId="48E1CF20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19D3EB80" w14:textId="486CED93" w:rsidR="00CF152E" w:rsidRPr="00A315B4" w:rsidRDefault="00CF152E" w:rsidP="00CF152E">
      <w:pPr>
        <w:ind w:firstLine="708"/>
        <w:jc w:val="both"/>
        <w:rPr>
          <w:sz w:val="24"/>
          <w:szCs w:val="24"/>
          <w:lang w:val="hr-BA"/>
        </w:rPr>
      </w:pPr>
      <w:r w:rsidRPr="00A315B4">
        <w:rPr>
          <w:sz w:val="24"/>
          <w:szCs w:val="24"/>
        </w:rPr>
        <w:t>Neizravno</w:t>
      </w:r>
      <w:r w:rsidRPr="00A315B4">
        <w:rPr>
          <w:sz w:val="24"/>
          <w:szCs w:val="24"/>
          <w:lang w:val="hr-BA"/>
        </w:rPr>
        <w:t xml:space="preserve"> oporezivanje je u nadležnosti države i vrši se od strane Uprave za </w:t>
      </w:r>
      <w:r w:rsidRPr="00A315B4">
        <w:rPr>
          <w:sz w:val="24"/>
          <w:szCs w:val="24"/>
        </w:rPr>
        <w:t>neizravno</w:t>
      </w:r>
      <w:r w:rsidRPr="00A315B4">
        <w:rPr>
          <w:sz w:val="24"/>
          <w:szCs w:val="24"/>
          <w:lang w:val="hr-BA"/>
        </w:rPr>
        <w:t xml:space="preserve"> oporezivanje (UIO/UNO) BiH, a pokriva porez na dodanu vrijednosti (PDV), carinske </w:t>
      </w:r>
      <w:r w:rsidRPr="00A315B4">
        <w:rPr>
          <w:sz w:val="24"/>
          <w:szCs w:val="24"/>
        </w:rPr>
        <w:t>pristojbe</w:t>
      </w:r>
      <w:r w:rsidRPr="00A315B4">
        <w:rPr>
          <w:sz w:val="24"/>
          <w:szCs w:val="24"/>
          <w:lang w:val="hr-BA"/>
        </w:rPr>
        <w:t xml:space="preserve">, </w:t>
      </w:r>
      <w:proofErr w:type="spellStart"/>
      <w:r w:rsidRPr="00A315B4">
        <w:rPr>
          <w:sz w:val="24"/>
          <w:szCs w:val="24"/>
          <w:lang w:val="hr-BA"/>
        </w:rPr>
        <w:t>akcizne</w:t>
      </w:r>
      <w:proofErr w:type="spellEnd"/>
      <w:r w:rsidRPr="00A315B4">
        <w:rPr>
          <w:sz w:val="24"/>
          <w:szCs w:val="24"/>
          <w:lang w:val="hr-BA"/>
        </w:rPr>
        <w:t xml:space="preserve"> </w:t>
      </w:r>
      <w:r w:rsidRPr="00A315B4">
        <w:rPr>
          <w:sz w:val="24"/>
          <w:szCs w:val="24"/>
        </w:rPr>
        <w:t>pristojbe</w:t>
      </w:r>
      <w:r w:rsidRPr="00A315B4">
        <w:rPr>
          <w:sz w:val="24"/>
          <w:szCs w:val="24"/>
          <w:lang w:val="hr-BA"/>
        </w:rPr>
        <w:t xml:space="preserve">, naknade za ceste itd. Nakon prikupljanja, prihodi se raspoređuju u skladu sa Zakonom o </w:t>
      </w:r>
      <w:r w:rsidRPr="00A315B4">
        <w:rPr>
          <w:sz w:val="24"/>
          <w:szCs w:val="24"/>
        </w:rPr>
        <w:t>sustavu neizravnog</w:t>
      </w:r>
      <w:r w:rsidRPr="00A315B4">
        <w:rPr>
          <w:sz w:val="24"/>
          <w:szCs w:val="24"/>
          <w:lang w:val="hr-BA"/>
        </w:rPr>
        <w:t xml:space="preserve"> oporezivanja u BiH i Zakonom o uplati i raspodjeli prihoda sa Jedinstvenog računa Uprave. Prihodi od </w:t>
      </w:r>
      <w:r w:rsidRPr="00A315B4">
        <w:rPr>
          <w:sz w:val="24"/>
          <w:szCs w:val="24"/>
        </w:rPr>
        <w:t>neizravnih</w:t>
      </w:r>
      <w:r w:rsidRPr="00A315B4">
        <w:rPr>
          <w:sz w:val="24"/>
          <w:szCs w:val="24"/>
          <w:lang w:val="hr-BA"/>
        </w:rPr>
        <w:t xml:space="preserve"> poreza sa Jedinstvenog računa Uprave raspoređuju se za </w:t>
      </w:r>
      <w:r w:rsidR="009B0551" w:rsidRPr="00A315B4">
        <w:rPr>
          <w:sz w:val="24"/>
          <w:szCs w:val="24"/>
          <w:lang w:val="hr-BA"/>
        </w:rPr>
        <w:t>financiranje</w:t>
      </w:r>
      <w:r w:rsidRPr="00A315B4">
        <w:rPr>
          <w:sz w:val="24"/>
          <w:szCs w:val="24"/>
          <w:lang w:val="hr-BA"/>
        </w:rPr>
        <w:t xml:space="preserve"> državnih institucija.  Konsolidirani plan prihoda u Federaciji BiH uključuje plan prihoda proračuna Federacije BiH, županijskih proračuna i proračuna jedinica lokalne samouprave, plan poreznih prihoda – doprinosa zavoda, te plan javnih prihoda ostalih korisnika (uprave za ceste, zavodi i sl.). Od 01.02.2018. godine prihodi po osnovi namjenske cestarine za autoceste povećani su sa 0,10 KM/l na 0,25 KM/l. Prikupljanje ovih poreza vrši se na posebnom pod računu otvorenom kod Centralne banke Bosne i Hercegovine. Također potrebno je naglasiti da konsolidacija planiranih prihoda ne odražava cjelokupan plan fiskalnog okvira, s obzirom da nisu obuhvaćeni prihodi javnih poduzeća u Federaciji BiH, ukupan dug i primitci. </w:t>
      </w:r>
    </w:p>
    <w:p w14:paraId="71FE3E0D" w14:textId="77777777" w:rsidR="00CF152E" w:rsidRPr="00F311A2" w:rsidRDefault="00CF152E" w:rsidP="00CF152E">
      <w:pPr>
        <w:jc w:val="both"/>
        <w:rPr>
          <w:sz w:val="24"/>
          <w:szCs w:val="24"/>
          <w:lang w:val="hr-BA"/>
        </w:rPr>
      </w:pPr>
    </w:p>
    <w:p w14:paraId="419F6D89" w14:textId="3EB98191" w:rsidR="008A631D" w:rsidRPr="00887A1E" w:rsidRDefault="00CF152E" w:rsidP="00887A1E">
      <w:pPr>
        <w:ind w:firstLine="708"/>
        <w:jc w:val="both"/>
        <w:rPr>
          <w:sz w:val="24"/>
          <w:szCs w:val="24"/>
          <w:lang w:val="hr-BA"/>
        </w:rPr>
      </w:pPr>
      <w:r w:rsidRPr="00887A1E">
        <w:rPr>
          <w:sz w:val="24"/>
          <w:szCs w:val="24"/>
          <w:lang w:val="hr-BA"/>
        </w:rPr>
        <w:t xml:space="preserve">Iz pripadajućeg dijela prihoda Federacije, izravno se vrši uplata za servisiranje vanjskog duga, a preostali dio sredstava sa Jedinstvenog računa raspoređuje se između Federacije, </w:t>
      </w:r>
      <w:r w:rsidRPr="00887A1E">
        <w:rPr>
          <w:sz w:val="24"/>
          <w:szCs w:val="24"/>
        </w:rPr>
        <w:t>županija</w:t>
      </w:r>
      <w:r w:rsidRPr="00887A1E">
        <w:rPr>
          <w:sz w:val="24"/>
          <w:szCs w:val="24"/>
          <w:lang w:val="hr-BA"/>
        </w:rPr>
        <w:t xml:space="preserve">, </w:t>
      </w:r>
      <w:proofErr w:type="spellStart"/>
      <w:r w:rsidRPr="00887A1E">
        <w:rPr>
          <w:sz w:val="24"/>
          <w:szCs w:val="24"/>
          <w:lang w:val="hr-BA"/>
        </w:rPr>
        <w:t>op</w:t>
      </w:r>
      <w:proofErr w:type="spellEnd"/>
      <w:r w:rsidRPr="00887A1E">
        <w:rPr>
          <w:sz w:val="24"/>
          <w:szCs w:val="24"/>
        </w:rPr>
        <w:t>ć</w:t>
      </w:r>
      <w:r w:rsidRPr="00887A1E">
        <w:rPr>
          <w:sz w:val="24"/>
          <w:szCs w:val="24"/>
          <w:lang w:val="hr-BA"/>
        </w:rPr>
        <w:t xml:space="preserve">ina i Direkcija za ceste, u skladu sa Zakonom o pripadnosti javnih prihoda u FBiH. Unatoč stabilizaciji epidemioloških prilika vezanih za pandemiju ali i složenih međunarodno političkih prilika vezanih za rat u Ukrajini izvršeno je revidiranje projekcija naplate javnih prihoda. No za očekivat </w:t>
      </w:r>
      <w:r w:rsidR="001D6C94" w:rsidRPr="00887A1E">
        <w:rPr>
          <w:sz w:val="24"/>
          <w:szCs w:val="24"/>
          <w:lang w:val="hr-BA"/>
        </w:rPr>
        <w:t xml:space="preserve">je </w:t>
      </w:r>
      <w:r w:rsidRPr="00887A1E">
        <w:rPr>
          <w:sz w:val="24"/>
          <w:szCs w:val="24"/>
          <w:lang w:val="hr-BA"/>
        </w:rPr>
        <w:t>da zbog inflatornih pritisaka dođe do porasta javnih prihoda u narednim godinama unatoč neizvjesnosti u makro okruženju</w:t>
      </w:r>
      <w:r w:rsidR="008A631D" w:rsidRPr="00887A1E">
        <w:rPr>
          <w:sz w:val="24"/>
          <w:szCs w:val="24"/>
          <w:lang w:val="hr-BA"/>
        </w:rPr>
        <w:t>.</w:t>
      </w:r>
    </w:p>
    <w:p w14:paraId="0CAB19B2" w14:textId="77777777" w:rsidR="000D2CF7" w:rsidRPr="00887A1E" w:rsidRDefault="000D2CF7" w:rsidP="00887A1E">
      <w:pPr>
        <w:ind w:firstLine="708"/>
        <w:jc w:val="both"/>
        <w:rPr>
          <w:sz w:val="24"/>
          <w:szCs w:val="24"/>
          <w:lang w:val="hr-BA"/>
        </w:rPr>
      </w:pPr>
    </w:p>
    <w:p w14:paraId="5F617005" w14:textId="657F0C74" w:rsidR="000D2CF7" w:rsidRPr="00887A1E" w:rsidRDefault="000D2CF7" w:rsidP="00887A1E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13537"/>
        </w:rPr>
      </w:pPr>
      <w:r w:rsidRPr="00887A1E">
        <w:rPr>
          <w:rStyle w:val="Naglaeno"/>
          <w:b w:val="0"/>
          <w:bCs w:val="0"/>
          <w:color w:val="313537"/>
          <w:bdr w:val="none" w:sz="0" w:space="0" w:color="auto" w:frame="1"/>
        </w:rPr>
        <w:t>Prihodi od indirektnih poreza za četiri mjeseca 2026. godine iznosili su 3 milijarde i 965 mili</w:t>
      </w:r>
      <w:r w:rsidR="003301FF">
        <w:rPr>
          <w:rStyle w:val="Naglaeno"/>
          <w:b w:val="0"/>
          <w:bCs w:val="0"/>
          <w:color w:val="313537"/>
          <w:bdr w:val="none" w:sz="0" w:space="0" w:color="auto" w:frame="1"/>
        </w:rPr>
        <w:t>juna</w:t>
      </w:r>
      <w:r w:rsidRPr="00887A1E">
        <w:rPr>
          <w:rStyle w:val="Naglaeno"/>
          <w:b w:val="0"/>
          <w:bCs w:val="0"/>
          <w:color w:val="313537"/>
          <w:bdr w:val="none" w:sz="0" w:space="0" w:color="auto" w:frame="1"/>
        </w:rPr>
        <w:t xml:space="preserve"> KM i veći su za 216 </w:t>
      </w:r>
      <w:r w:rsidR="003301FF" w:rsidRPr="00887A1E">
        <w:rPr>
          <w:rStyle w:val="Naglaeno"/>
          <w:b w:val="0"/>
          <w:bCs w:val="0"/>
          <w:color w:val="313537"/>
          <w:bdr w:val="none" w:sz="0" w:space="0" w:color="auto" w:frame="1"/>
        </w:rPr>
        <w:t>mili</w:t>
      </w:r>
      <w:r w:rsidR="003301FF">
        <w:rPr>
          <w:rStyle w:val="Naglaeno"/>
          <w:b w:val="0"/>
          <w:bCs w:val="0"/>
          <w:color w:val="313537"/>
          <w:bdr w:val="none" w:sz="0" w:space="0" w:color="auto" w:frame="1"/>
        </w:rPr>
        <w:t>ju</w:t>
      </w:r>
      <w:r w:rsidR="003301FF" w:rsidRPr="00887A1E">
        <w:rPr>
          <w:rStyle w:val="Naglaeno"/>
          <w:b w:val="0"/>
          <w:bCs w:val="0"/>
          <w:color w:val="313537"/>
          <w:bdr w:val="none" w:sz="0" w:space="0" w:color="auto" w:frame="1"/>
        </w:rPr>
        <w:t>na</w:t>
      </w:r>
      <w:r w:rsidRPr="00887A1E">
        <w:rPr>
          <w:rStyle w:val="Naglaeno"/>
          <w:b w:val="0"/>
          <w:bCs w:val="0"/>
          <w:color w:val="313537"/>
          <w:bdr w:val="none" w:sz="0" w:space="0" w:color="auto" w:frame="1"/>
        </w:rPr>
        <w:t xml:space="preserve"> KM ili 5,77 % u odnosu na isti period 2025. godine kada su iznosili 3 milijarde i 749 mili</w:t>
      </w:r>
      <w:r w:rsidR="003301FF">
        <w:rPr>
          <w:rStyle w:val="Naglaeno"/>
          <w:b w:val="0"/>
          <w:bCs w:val="0"/>
          <w:color w:val="313537"/>
          <w:bdr w:val="none" w:sz="0" w:space="0" w:color="auto" w:frame="1"/>
        </w:rPr>
        <w:t>ju</w:t>
      </w:r>
      <w:r w:rsidRPr="00887A1E">
        <w:rPr>
          <w:rStyle w:val="Naglaeno"/>
          <w:b w:val="0"/>
          <w:bCs w:val="0"/>
          <w:color w:val="313537"/>
          <w:bdr w:val="none" w:sz="0" w:space="0" w:color="auto" w:frame="1"/>
        </w:rPr>
        <w:t>na KM</w:t>
      </w:r>
      <w:r w:rsidRPr="00887A1E">
        <w:rPr>
          <w:color w:val="313537"/>
        </w:rPr>
        <w:t>.</w:t>
      </w:r>
      <w:r w:rsidRPr="00887A1E">
        <w:rPr>
          <w:rStyle w:val="Naglaeno"/>
          <w:b w:val="0"/>
          <w:bCs w:val="0"/>
          <w:color w:val="313537"/>
          <w:bdr w:val="none" w:sz="0" w:space="0" w:color="auto" w:frame="1"/>
        </w:rPr>
        <w:t>  </w:t>
      </w:r>
    </w:p>
    <w:p w14:paraId="38136036" w14:textId="77777777" w:rsidR="000D2CF7" w:rsidRPr="00887A1E" w:rsidRDefault="000D2CF7" w:rsidP="00887A1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13537"/>
        </w:rPr>
      </w:pPr>
      <w:r w:rsidRPr="00887A1E">
        <w:rPr>
          <w:color w:val="313537"/>
        </w:rPr>
        <w:t>Uprava je u prva četiri mjeseca 2026. godine izvršila povrat PDV-a obveznicima koji su ostvarili zakonsko pravo na povrat u iznosu od 701 miliona KM.</w:t>
      </w:r>
    </w:p>
    <w:p w14:paraId="1C3A0181" w14:textId="77777777" w:rsidR="008A631D" w:rsidRPr="00887A1E" w:rsidRDefault="008A631D" w:rsidP="00887A1E">
      <w:pPr>
        <w:ind w:firstLine="708"/>
        <w:jc w:val="both"/>
        <w:rPr>
          <w:color w:val="FF0000"/>
          <w:sz w:val="24"/>
          <w:szCs w:val="24"/>
          <w:lang w:val="hr-BA"/>
        </w:rPr>
      </w:pPr>
    </w:p>
    <w:p w14:paraId="75118B4C" w14:textId="05347E9B" w:rsidR="003256C3" w:rsidRDefault="000D2CF7" w:rsidP="00887A1E">
      <w:pPr>
        <w:ind w:firstLine="708"/>
        <w:jc w:val="both"/>
        <w:rPr>
          <w:color w:val="313537"/>
          <w:sz w:val="24"/>
          <w:szCs w:val="24"/>
          <w:shd w:val="clear" w:color="auto" w:fill="FFFFFF"/>
        </w:rPr>
      </w:pPr>
      <w:r w:rsidRPr="00887A1E">
        <w:rPr>
          <w:rStyle w:val="Naglaeno"/>
          <w:b w:val="0"/>
          <w:bCs w:val="0"/>
          <w:color w:val="313537"/>
          <w:sz w:val="24"/>
          <w:szCs w:val="24"/>
          <w:bdr w:val="none" w:sz="0" w:space="0" w:color="auto" w:frame="1"/>
          <w:shd w:val="clear" w:color="auto" w:fill="FFFFFF"/>
        </w:rPr>
        <w:t>Neto prikupljeni prihodi</w:t>
      </w:r>
      <w:r w:rsidRPr="00887A1E">
        <w:rPr>
          <w:color w:val="313537"/>
          <w:sz w:val="24"/>
          <w:szCs w:val="24"/>
          <w:shd w:val="clear" w:color="auto" w:fill="FFFFFF"/>
        </w:rPr>
        <w:t> koji su otišli u raspodjelu korisnicima za četiri mjeseca 2026. godine, a to su država, entiteti i Distrikt Brčko, iznosili su 3 milijarde i 264 miliona KM i veći su za 8,4 % u odnosu na prihode raspoređene korisnicima za četiri mjeseca 2025. godine</w:t>
      </w:r>
      <w:r w:rsidRPr="000D2CF7">
        <w:rPr>
          <w:color w:val="313537"/>
          <w:sz w:val="24"/>
          <w:szCs w:val="24"/>
          <w:shd w:val="clear" w:color="auto" w:fill="FFFFFF"/>
        </w:rPr>
        <w:t>.</w:t>
      </w:r>
    </w:p>
    <w:p w14:paraId="4FDC8683" w14:textId="77777777" w:rsidR="000D2CF7" w:rsidRPr="000D2CF7" w:rsidRDefault="000D2CF7" w:rsidP="000D2CF7">
      <w:pPr>
        <w:ind w:firstLine="708"/>
        <w:jc w:val="both"/>
        <w:rPr>
          <w:sz w:val="24"/>
          <w:szCs w:val="24"/>
          <w:lang w:val="hr-BA"/>
        </w:rPr>
      </w:pPr>
    </w:p>
    <w:p w14:paraId="3D19D361" w14:textId="3C2A6E4D" w:rsidR="00AA25CC" w:rsidRPr="00AA25CC" w:rsidRDefault="00E918EF" w:rsidP="00AA25CC">
      <w:pPr>
        <w:pStyle w:val="Opisslike"/>
      </w:pPr>
      <w:bookmarkStart w:id="61" w:name="_Toc232407851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3</w:t>
      </w:r>
      <w:r w:rsidR="00D82381">
        <w:fldChar w:fldCharType="end"/>
      </w:r>
      <w:r>
        <w:t xml:space="preserve">. Raspodjela prihoda od neizravnih poreza entitetima i Distriktu Brčko </w:t>
      </w:r>
      <w:r w:rsidR="00AA25CC">
        <w:t xml:space="preserve"> u milijunima KM</w:t>
      </w:r>
      <w:bookmarkEnd w:id="61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1556"/>
        <w:gridCol w:w="1378"/>
        <w:gridCol w:w="1411"/>
        <w:gridCol w:w="1378"/>
        <w:gridCol w:w="1411"/>
        <w:gridCol w:w="1378"/>
        <w:gridCol w:w="1411"/>
      </w:tblGrid>
      <w:tr w:rsidR="003256C3" w:rsidRPr="003256C3" w14:paraId="2E9D9015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  <w:vMerge w:val="restart"/>
            <w:noWrap/>
            <w:hideMark/>
          </w:tcPr>
          <w:p w14:paraId="58E7C7B5" w14:textId="26DEB4B7" w:rsidR="003256C3" w:rsidRDefault="003256C3" w:rsidP="003256C3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01.01.-3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3</w:t>
            </w:r>
            <w:r w:rsidRPr="003256C3">
              <w:rPr>
                <w:rFonts w:ascii="Calibri" w:hAnsi="Calibri" w:cs="Calibri"/>
                <w:color w:val="000000"/>
                <w:szCs w:val="22"/>
              </w:rPr>
              <w:t>.0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4</w:t>
            </w:r>
            <w:r w:rsidRPr="003256C3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14:paraId="22CEF1F4" w14:textId="2EB2BF67" w:rsidR="003E35E7" w:rsidRPr="003256C3" w:rsidRDefault="003E35E7" w:rsidP="003256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569" w:type="dxa"/>
            <w:gridSpan w:val="2"/>
            <w:noWrap/>
            <w:hideMark/>
          </w:tcPr>
          <w:p w14:paraId="7824DC94" w14:textId="77777777" w:rsidR="003256C3" w:rsidRPr="003256C3" w:rsidRDefault="003256C3" w:rsidP="003256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FBiH</w:t>
            </w:r>
          </w:p>
        </w:tc>
        <w:tc>
          <w:tcPr>
            <w:tcW w:w="2569" w:type="dxa"/>
            <w:gridSpan w:val="2"/>
            <w:noWrap/>
            <w:hideMark/>
          </w:tcPr>
          <w:p w14:paraId="392F09C9" w14:textId="77777777" w:rsidR="003256C3" w:rsidRPr="003256C3" w:rsidRDefault="003256C3" w:rsidP="003256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RS</w:t>
            </w:r>
          </w:p>
        </w:tc>
        <w:tc>
          <w:tcPr>
            <w:tcW w:w="2569" w:type="dxa"/>
            <w:gridSpan w:val="2"/>
            <w:noWrap/>
            <w:hideMark/>
          </w:tcPr>
          <w:p w14:paraId="5C972CC6" w14:textId="77777777" w:rsidR="003256C3" w:rsidRPr="003256C3" w:rsidRDefault="003256C3" w:rsidP="003256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DB BiH</w:t>
            </w:r>
          </w:p>
        </w:tc>
      </w:tr>
      <w:tr w:rsidR="003256C3" w:rsidRPr="003256C3" w14:paraId="51026CED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  <w:vMerge/>
            <w:hideMark/>
          </w:tcPr>
          <w:p w14:paraId="6DAD3B89" w14:textId="77777777" w:rsidR="003256C3" w:rsidRPr="003256C3" w:rsidRDefault="003256C3" w:rsidP="003256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69" w:type="dxa"/>
            <w:noWrap/>
            <w:hideMark/>
          </w:tcPr>
          <w:p w14:paraId="29D1E2AB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Doznačeno</w:t>
            </w:r>
          </w:p>
        </w:tc>
        <w:tc>
          <w:tcPr>
            <w:tcW w:w="1300" w:type="dxa"/>
            <w:noWrap/>
            <w:hideMark/>
          </w:tcPr>
          <w:p w14:paraId="73F1832C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Vanjski dug</w:t>
            </w:r>
          </w:p>
        </w:tc>
        <w:tc>
          <w:tcPr>
            <w:tcW w:w="1269" w:type="dxa"/>
            <w:noWrap/>
            <w:hideMark/>
          </w:tcPr>
          <w:p w14:paraId="13423303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Doznačeno</w:t>
            </w:r>
          </w:p>
        </w:tc>
        <w:tc>
          <w:tcPr>
            <w:tcW w:w="1300" w:type="dxa"/>
            <w:noWrap/>
            <w:hideMark/>
          </w:tcPr>
          <w:p w14:paraId="6DABAFA9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Vanjski dug</w:t>
            </w:r>
          </w:p>
        </w:tc>
        <w:tc>
          <w:tcPr>
            <w:tcW w:w="1269" w:type="dxa"/>
            <w:noWrap/>
            <w:hideMark/>
          </w:tcPr>
          <w:p w14:paraId="6E7EE1B9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Doznačeno</w:t>
            </w:r>
          </w:p>
        </w:tc>
        <w:tc>
          <w:tcPr>
            <w:tcW w:w="1300" w:type="dxa"/>
            <w:noWrap/>
            <w:hideMark/>
          </w:tcPr>
          <w:p w14:paraId="14A675D0" w14:textId="77777777" w:rsidR="003256C3" w:rsidRPr="003256C3" w:rsidRDefault="003256C3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Vanjski dug</w:t>
            </w:r>
          </w:p>
        </w:tc>
      </w:tr>
      <w:tr w:rsidR="003256C3" w:rsidRPr="003256C3" w14:paraId="5975FFF0" w14:textId="77777777" w:rsidTr="00F241E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  <w:noWrap/>
            <w:hideMark/>
          </w:tcPr>
          <w:p w14:paraId="65199B0F" w14:textId="4740EC29" w:rsidR="003256C3" w:rsidRPr="003256C3" w:rsidRDefault="003256C3" w:rsidP="003256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269" w:type="dxa"/>
            <w:noWrap/>
            <w:hideMark/>
          </w:tcPr>
          <w:p w14:paraId="225E7BEC" w14:textId="1234F4A2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1.494</w:t>
            </w:r>
          </w:p>
        </w:tc>
        <w:tc>
          <w:tcPr>
            <w:tcW w:w="1300" w:type="dxa"/>
            <w:noWrap/>
            <w:hideMark/>
          </w:tcPr>
          <w:p w14:paraId="1DC4CEAC" w14:textId="2E8060BE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217</w:t>
            </w:r>
          </w:p>
        </w:tc>
        <w:tc>
          <w:tcPr>
            <w:tcW w:w="1269" w:type="dxa"/>
            <w:noWrap/>
            <w:hideMark/>
          </w:tcPr>
          <w:p w14:paraId="22397055" w14:textId="55D54B80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850</w:t>
            </w:r>
          </w:p>
        </w:tc>
        <w:tc>
          <w:tcPr>
            <w:tcW w:w="1300" w:type="dxa"/>
            <w:noWrap/>
            <w:hideMark/>
          </w:tcPr>
          <w:p w14:paraId="10972A2C" w14:textId="0E90B595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  <w:tc>
          <w:tcPr>
            <w:tcW w:w="1269" w:type="dxa"/>
            <w:noWrap/>
            <w:hideMark/>
          </w:tcPr>
          <w:p w14:paraId="1239A3CB" w14:textId="19955D03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484D5300" w14:textId="53BB59A0" w:rsidR="003256C3" w:rsidRPr="003256C3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3256C3" w:rsidRPr="003256C3" w14:paraId="74CD665C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  <w:noWrap/>
            <w:hideMark/>
          </w:tcPr>
          <w:p w14:paraId="1EE88B55" w14:textId="3706EF53" w:rsidR="003256C3" w:rsidRPr="003256C3" w:rsidRDefault="003256C3" w:rsidP="003256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202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269" w:type="dxa"/>
            <w:noWrap/>
            <w:hideMark/>
          </w:tcPr>
          <w:p w14:paraId="5A35F9FE" w14:textId="0A235FA8" w:rsidR="003256C3" w:rsidRPr="003256C3" w:rsidRDefault="00AC2A79" w:rsidP="00AC2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1.221</w:t>
            </w:r>
          </w:p>
        </w:tc>
        <w:tc>
          <w:tcPr>
            <w:tcW w:w="1300" w:type="dxa"/>
            <w:noWrap/>
            <w:hideMark/>
          </w:tcPr>
          <w:p w14:paraId="63C4755D" w14:textId="1B980EC5" w:rsidR="003256C3" w:rsidRPr="003256C3" w:rsidRDefault="00AC2A79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339</w:t>
            </w:r>
          </w:p>
        </w:tc>
        <w:tc>
          <w:tcPr>
            <w:tcW w:w="1269" w:type="dxa"/>
            <w:noWrap/>
            <w:hideMark/>
          </w:tcPr>
          <w:p w14:paraId="02D766CD" w14:textId="78AA0C6B" w:rsidR="003256C3" w:rsidRPr="003256C3" w:rsidRDefault="00AC2A79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</w:p>
        </w:tc>
        <w:tc>
          <w:tcPr>
            <w:tcW w:w="1300" w:type="dxa"/>
            <w:noWrap/>
            <w:hideMark/>
          </w:tcPr>
          <w:p w14:paraId="1C8F7D2C" w14:textId="5604F428" w:rsidR="003256C3" w:rsidRPr="003256C3" w:rsidRDefault="00075B61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AC2A79"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1269" w:type="dxa"/>
            <w:noWrap/>
            <w:hideMark/>
          </w:tcPr>
          <w:p w14:paraId="47C1CB64" w14:textId="159A04EB" w:rsidR="003256C3" w:rsidRPr="003256C3" w:rsidRDefault="00AC2A79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1300" w:type="dxa"/>
            <w:noWrap/>
            <w:hideMark/>
          </w:tcPr>
          <w:p w14:paraId="70A493F7" w14:textId="689AB065" w:rsidR="003256C3" w:rsidRPr="003256C3" w:rsidRDefault="00AC2A79" w:rsidP="00325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3256C3" w:rsidRPr="003256C3" w14:paraId="169D0512" w14:textId="77777777" w:rsidTr="00F241EB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4" w:type="dxa"/>
            <w:noWrap/>
            <w:hideMark/>
          </w:tcPr>
          <w:p w14:paraId="06DCCC8A" w14:textId="77777777" w:rsidR="003256C3" w:rsidRPr="003256C3" w:rsidRDefault="003256C3" w:rsidP="003256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256C3">
              <w:rPr>
                <w:rFonts w:ascii="Calibri" w:hAnsi="Calibri" w:cs="Calibri"/>
                <w:color w:val="000000"/>
                <w:szCs w:val="22"/>
              </w:rPr>
              <w:t>% promjene</w:t>
            </w:r>
          </w:p>
        </w:tc>
        <w:tc>
          <w:tcPr>
            <w:tcW w:w="1269" w:type="dxa"/>
            <w:noWrap/>
            <w:hideMark/>
          </w:tcPr>
          <w:p w14:paraId="5F9F7A03" w14:textId="01355B60" w:rsidR="003256C3" w:rsidRPr="00AC2A79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22,35</w:t>
            </w:r>
          </w:p>
        </w:tc>
        <w:tc>
          <w:tcPr>
            <w:tcW w:w="1300" w:type="dxa"/>
            <w:noWrap/>
            <w:hideMark/>
          </w:tcPr>
          <w:p w14:paraId="0418A18E" w14:textId="6480FEFE" w:rsidR="003256C3" w:rsidRPr="00AC2A79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-36</w:t>
            </w:r>
          </w:p>
        </w:tc>
        <w:tc>
          <w:tcPr>
            <w:tcW w:w="1269" w:type="dxa"/>
            <w:noWrap/>
            <w:hideMark/>
          </w:tcPr>
          <w:p w14:paraId="3FFA7D9B" w14:textId="202979D1" w:rsidR="003256C3" w:rsidRPr="00AC2A79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21,43</w:t>
            </w:r>
          </w:p>
        </w:tc>
        <w:tc>
          <w:tcPr>
            <w:tcW w:w="1300" w:type="dxa"/>
            <w:noWrap/>
            <w:hideMark/>
          </w:tcPr>
          <w:p w14:paraId="07B185EB" w14:textId="599E1135" w:rsidR="003256C3" w:rsidRPr="00AC2A79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-39,76</w:t>
            </w:r>
          </w:p>
        </w:tc>
        <w:tc>
          <w:tcPr>
            <w:tcW w:w="1269" w:type="dxa"/>
            <w:noWrap/>
            <w:hideMark/>
          </w:tcPr>
          <w:p w14:paraId="406B3D58" w14:textId="3DF2BA11" w:rsidR="003256C3" w:rsidRPr="00AC2A79" w:rsidRDefault="00AC2A79" w:rsidP="00325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11,90</w:t>
            </w:r>
          </w:p>
        </w:tc>
        <w:tc>
          <w:tcPr>
            <w:tcW w:w="1300" w:type="dxa"/>
            <w:noWrap/>
            <w:hideMark/>
          </w:tcPr>
          <w:p w14:paraId="6D1D42EA" w14:textId="57858B6E" w:rsidR="003256C3" w:rsidRPr="00AC2A79" w:rsidRDefault="00075B61" w:rsidP="00075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   -</w:t>
            </w:r>
            <w:r w:rsidR="00AC2A79" w:rsidRPr="00AC2A79">
              <w:rPr>
                <w:rFonts w:ascii="Calibri" w:hAnsi="Calibri" w:cs="Calibri"/>
                <w:b/>
                <w:bCs/>
                <w:color w:val="000000"/>
                <w:szCs w:val="22"/>
              </w:rPr>
              <w:t>33,33</w:t>
            </w:r>
          </w:p>
        </w:tc>
      </w:tr>
    </w:tbl>
    <w:p w14:paraId="20D832F9" w14:textId="77777777" w:rsidR="003256C3" w:rsidRDefault="00E918EF" w:rsidP="003256C3">
      <w:pPr>
        <w:jc w:val="both"/>
        <w:rPr>
          <w:i/>
          <w:szCs w:val="22"/>
          <w:lang w:val="hr-BA"/>
        </w:rPr>
      </w:pPr>
      <w:r w:rsidRPr="00E918EF">
        <w:rPr>
          <w:i/>
          <w:szCs w:val="22"/>
          <w:lang w:val="hr-BA"/>
        </w:rPr>
        <w:t>Izvor: Uprava za neizravno oporezivanje</w:t>
      </w:r>
    </w:p>
    <w:p w14:paraId="2B2FA6FE" w14:textId="77777777" w:rsidR="00AC2A79" w:rsidRDefault="00AC2A79" w:rsidP="003256C3">
      <w:pPr>
        <w:jc w:val="both"/>
        <w:rPr>
          <w:i/>
          <w:szCs w:val="22"/>
          <w:lang w:val="hr-BA"/>
        </w:rPr>
      </w:pPr>
    </w:p>
    <w:p w14:paraId="5E418D02" w14:textId="4A48196B" w:rsidR="00AC2A79" w:rsidRPr="00AC2A79" w:rsidRDefault="00AC2A79" w:rsidP="00AC2A79">
      <w:pPr>
        <w:ind w:firstLine="708"/>
        <w:jc w:val="both"/>
        <w:rPr>
          <w:i/>
          <w:szCs w:val="22"/>
          <w:lang w:val="hr-BA"/>
        </w:rPr>
      </w:pPr>
      <w:r w:rsidRPr="00AC2A79">
        <w:rPr>
          <w:color w:val="313537"/>
          <w:shd w:val="clear" w:color="auto" w:fill="FFFFFF"/>
        </w:rPr>
        <w:t>Za finan</w:t>
      </w:r>
      <w:r>
        <w:rPr>
          <w:color w:val="313537"/>
          <w:shd w:val="clear" w:color="auto" w:fill="FFFFFF"/>
        </w:rPr>
        <w:t>ciranje</w:t>
      </w:r>
      <w:r w:rsidRPr="00AC2A79">
        <w:rPr>
          <w:color w:val="313537"/>
          <w:shd w:val="clear" w:color="auto" w:fill="FFFFFF"/>
        </w:rPr>
        <w:t xml:space="preserve"> državnih institucija u prva četiri mjeseca 2026. godine raspoređen je iznos od 332 mili</w:t>
      </w:r>
      <w:r w:rsidR="003301FF">
        <w:rPr>
          <w:color w:val="313537"/>
          <w:shd w:val="clear" w:color="auto" w:fill="FFFFFF"/>
        </w:rPr>
        <w:t>juna</w:t>
      </w:r>
      <w:r w:rsidRPr="00AC2A79">
        <w:rPr>
          <w:color w:val="313537"/>
          <w:shd w:val="clear" w:color="auto" w:fill="FFFFFF"/>
        </w:rPr>
        <w:t xml:space="preserve"> KM. Ostatak prikupljenih prihoda od indirektnih poreza završio je kod entiteta i Brčko distrikta. Tako je Federacija BiH sa jedinstvenog računa dobila 1 milijardu i 792 miliona KM, Republika Srpska 1 milijardu i 4 miliona KM i Brčko distrikt 101 milion KM.</w:t>
      </w:r>
    </w:p>
    <w:p w14:paraId="23BEF44E" w14:textId="77777777" w:rsidR="00AC2A79" w:rsidRPr="00AC2A79" w:rsidRDefault="00AC2A79" w:rsidP="003256C3">
      <w:pPr>
        <w:jc w:val="both"/>
        <w:rPr>
          <w:iCs/>
          <w:szCs w:val="22"/>
          <w:lang w:val="hr-BA"/>
        </w:rPr>
      </w:pPr>
    </w:p>
    <w:p w14:paraId="21282D1C" w14:textId="77777777" w:rsidR="000A35E1" w:rsidRDefault="000A35E1" w:rsidP="00AC70F5">
      <w:pPr>
        <w:ind w:firstLine="708"/>
        <w:jc w:val="both"/>
        <w:rPr>
          <w:sz w:val="24"/>
          <w:szCs w:val="24"/>
          <w:lang w:val="hr-BA"/>
        </w:rPr>
      </w:pPr>
    </w:p>
    <w:p w14:paraId="7D3C44DB" w14:textId="77777777" w:rsidR="00CF152E" w:rsidRDefault="00CF152E" w:rsidP="0040767F">
      <w:pPr>
        <w:pStyle w:val="Naslov2"/>
      </w:pPr>
      <w:bookmarkStart w:id="62" w:name="_Toc129414339"/>
      <w:bookmarkStart w:id="63" w:name="_Toc190228393"/>
      <w:bookmarkStart w:id="64" w:name="_Toc191048981"/>
      <w:bookmarkStart w:id="65" w:name="_Toc197340779"/>
      <w:bookmarkStart w:id="66" w:name="_Toc106015341"/>
      <w:bookmarkStart w:id="67" w:name="_Toc232407831"/>
      <w:r>
        <w:t>3.</w:t>
      </w:r>
      <w:r w:rsidR="0040767F">
        <w:t>3.</w:t>
      </w:r>
      <w:r>
        <w:t xml:space="preserve"> </w:t>
      </w:r>
      <w:r w:rsidRPr="00621D74">
        <w:t xml:space="preserve">Prihodi koji se prikupljaju od strane </w:t>
      </w:r>
      <w:bookmarkEnd w:id="62"/>
      <w:bookmarkEnd w:id="63"/>
      <w:bookmarkEnd w:id="64"/>
      <w:bookmarkEnd w:id="65"/>
      <w:r w:rsidRPr="00621D74">
        <w:t>Županije</w:t>
      </w:r>
      <w:bookmarkEnd w:id="66"/>
      <w:bookmarkEnd w:id="67"/>
    </w:p>
    <w:p w14:paraId="0C2A6FF6" w14:textId="77777777" w:rsidR="00CF152E" w:rsidRPr="002A404F" w:rsidRDefault="00CF152E" w:rsidP="00CF152E"/>
    <w:p w14:paraId="5315E125" w14:textId="77777777" w:rsidR="00CF152E" w:rsidRPr="00621D74" w:rsidRDefault="00CF152E" w:rsidP="00CF152E">
      <w:pPr>
        <w:rPr>
          <w:sz w:val="24"/>
          <w:szCs w:val="24"/>
        </w:rPr>
      </w:pPr>
    </w:p>
    <w:p w14:paraId="096B2BCD" w14:textId="77777777" w:rsidR="00CF152E" w:rsidRPr="00621D74" w:rsidRDefault="00CF152E" w:rsidP="00CF152E">
      <w:pPr>
        <w:jc w:val="both"/>
        <w:rPr>
          <w:i/>
          <w:sz w:val="24"/>
          <w:szCs w:val="24"/>
        </w:rPr>
      </w:pPr>
      <w:r w:rsidRPr="00621D74">
        <w:rPr>
          <w:b/>
          <w:i/>
          <w:sz w:val="24"/>
          <w:szCs w:val="24"/>
        </w:rPr>
        <w:t>Porez na dobit</w:t>
      </w:r>
    </w:p>
    <w:p w14:paraId="6F7C0567" w14:textId="77777777" w:rsidR="00CF152E" w:rsidRPr="00621D74" w:rsidRDefault="00CF152E" w:rsidP="00CF152E">
      <w:pPr>
        <w:rPr>
          <w:i/>
          <w:sz w:val="24"/>
          <w:szCs w:val="24"/>
        </w:rPr>
      </w:pPr>
    </w:p>
    <w:p w14:paraId="2E785C13" w14:textId="77777777" w:rsidR="00887A1E" w:rsidRPr="00887A1E" w:rsidRDefault="00887A1E" w:rsidP="00887A1E">
      <w:pPr>
        <w:spacing w:line="276" w:lineRule="auto"/>
        <w:ind w:firstLine="708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887A1E">
        <w:rPr>
          <w:rFonts w:eastAsiaTheme="minorEastAsia" w:cstheme="minorBidi"/>
          <w:sz w:val="24"/>
          <w:szCs w:val="22"/>
          <w:lang w:eastAsia="hr-HR"/>
        </w:rPr>
        <w:t>Projekcije prihoda od poreza na dobit za 2026. godinu bazirane su na povijesnom i tekućem (Q1 2026) trendu naplate uz procijenjena očekivanja do kraja godine. No uzimajući u obzir visok nivo nepredvidivosti, stope rasta u razdoblju 2026.-2029. godina oprezno predviđaju prosječan godišnji rast.</w:t>
      </w:r>
    </w:p>
    <w:p w14:paraId="4262C2EE" w14:textId="77777777" w:rsidR="00CF152E" w:rsidRDefault="00CF152E" w:rsidP="00CF152E">
      <w:pPr>
        <w:ind w:firstLine="708"/>
        <w:jc w:val="both"/>
        <w:rPr>
          <w:sz w:val="24"/>
          <w:szCs w:val="24"/>
        </w:rPr>
      </w:pPr>
    </w:p>
    <w:p w14:paraId="25A53010" w14:textId="77777777" w:rsidR="00887A1E" w:rsidRDefault="00887A1E" w:rsidP="00CF152E">
      <w:pPr>
        <w:ind w:firstLine="708"/>
        <w:jc w:val="both"/>
        <w:rPr>
          <w:sz w:val="24"/>
          <w:szCs w:val="24"/>
        </w:rPr>
      </w:pPr>
    </w:p>
    <w:p w14:paraId="04C23BA4" w14:textId="77777777" w:rsidR="00887A1E" w:rsidRDefault="00887A1E" w:rsidP="00CF152E">
      <w:pPr>
        <w:ind w:firstLine="708"/>
        <w:jc w:val="both"/>
        <w:rPr>
          <w:sz w:val="24"/>
          <w:szCs w:val="24"/>
        </w:rPr>
      </w:pPr>
    </w:p>
    <w:p w14:paraId="2475A851" w14:textId="77777777" w:rsidR="00887A1E" w:rsidRDefault="00887A1E" w:rsidP="00CF152E">
      <w:pPr>
        <w:ind w:firstLine="708"/>
        <w:jc w:val="both"/>
        <w:rPr>
          <w:sz w:val="24"/>
          <w:szCs w:val="24"/>
        </w:rPr>
      </w:pPr>
    </w:p>
    <w:p w14:paraId="79874865" w14:textId="77777777" w:rsidR="00887A1E" w:rsidRPr="00A315B4" w:rsidRDefault="00887A1E" w:rsidP="00CF152E">
      <w:pPr>
        <w:ind w:firstLine="708"/>
        <w:jc w:val="both"/>
        <w:rPr>
          <w:sz w:val="24"/>
          <w:szCs w:val="24"/>
        </w:rPr>
      </w:pPr>
    </w:p>
    <w:p w14:paraId="61DCF4A2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74A1D253" w14:textId="77777777" w:rsidR="00CF152E" w:rsidRPr="009B0551" w:rsidRDefault="00CF152E" w:rsidP="00CF152E">
      <w:pPr>
        <w:jc w:val="both"/>
        <w:rPr>
          <w:b/>
          <w:i/>
          <w:sz w:val="24"/>
          <w:szCs w:val="24"/>
        </w:rPr>
      </w:pPr>
      <w:r w:rsidRPr="009B0551">
        <w:rPr>
          <w:b/>
          <w:i/>
          <w:sz w:val="24"/>
          <w:szCs w:val="24"/>
        </w:rPr>
        <w:lastRenderedPageBreak/>
        <w:t>Porezi građana – porez na imovinu</w:t>
      </w:r>
    </w:p>
    <w:p w14:paraId="7F0EB46F" w14:textId="77777777" w:rsidR="00CF152E" w:rsidRPr="00621D74" w:rsidRDefault="00CF152E" w:rsidP="00CF152E">
      <w:pPr>
        <w:jc w:val="both"/>
        <w:rPr>
          <w:b/>
          <w:sz w:val="24"/>
          <w:szCs w:val="24"/>
        </w:rPr>
      </w:pPr>
    </w:p>
    <w:p w14:paraId="722CF0F2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Porezi na imovinu je jedna od poreznih oblasti u Bosni i Hercegovini koja nije ujednačena u državi. Porez na imovinu je reguliran na razini županija u Federaciji BiH i na razini Republike Srpske.</w:t>
      </w:r>
    </w:p>
    <w:p w14:paraId="41246009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2BDBE39A" w14:textId="15EFDB2F" w:rsidR="00CF152E" w:rsidRDefault="00CF152E" w:rsidP="00A05DEA">
      <w:pPr>
        <w:ind w:firstLine="708"/>
        <w:jc w:val="both"/>
        <w:rPr>
          <w:b/>
          <w:sz w:val="24"/>
          <w:szCs w:val="24"/>
        </w:rPr>
      </w:pPr>
      <w:r w:rsidRPr="00A315B4">
        <w:rPr>
          <w:sz w:val="24"/>
          <w:szCs w:val="24"/>
        </w:rPr>
        <w:t xml:space="preserve">Budući da oporezivanje imovine nije regulirano na entitetskoj razini, županije su samostalne kod određivanja visine poreza tako da postoji različita praksa raspodjele ovih prihoda. </w:t>
      </w:r>
    </w:p>
    <w:p w14:paraId="2DB763BD" w14:textId="77777777" w:rsidR="00CF152E" w:rsidRPr="00621D74" w:rsidRDefault="00CF152E" w:rsidP="00CF152E">
      <w:pPr>
        <w:jc w:val="both"/>
        <w:rPr>
          <w:b/>
          <w:sz w:val="24"/>
          <w:szCs w:val="24"/>
        </w:rPr>
      </w:pPr>
    </w:p>
    <w:p w14:paraId="6F7A0680" w14:textId="77777777" w:rsidR="00CF152E" w:rsidRPr="00621D74" w:rsidRDefault="00CF152E" w:rsidP="00CF152E">
      <w:pPr>
        <w:jc w:val="both"/>
        <w:rPr>
          <w:b/>
          <w:i/>
          <w:sz w:val="24"/>
          <w:szCs w:val="24"/>
        </w:rPr>
      </w:pPr>
      <w:r w:rsidRPr="00621D74">
        <w:rPr>
          <w:b/>
          <w:i/>
          <w:sz w:val="24"/>
          <w:szCs w:val="24"/>
        </w:rPr>
        <w:t>Porez na dohodak</w:t>
      </w:r>
    </w:p>
    <w:p w14:paraId="37584939" w14:textId="77777777" w:rsidR="00CF152E" w:rsidRPr="00621D74" w:rsidRDefault="00CF152E" w:rsidP="00CF152E">
      <w:pPr>
        <w:jc w:val="both"/>
        <w:rPr>
          <w:b/>
          <w:i/>
          <w:sz w:val="24"/>
          <w:szCs w:val="24"/>
        </w:rPr>
      </w:pPr>
    </w:p>
    <w:p w14:paraId="50FDD8C3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Zakon o porezu na dohodak („Službene novine Federacije BiH“, br. 10/08, 9/10, 44/11, 7/13 i 65/13), koji je u primjeni od 01.01.2009. godine, donio je pozitivne efekte u reformi oblasti direktnog oporezivanja, zamijenivši niz drugih poreza, koje su plaćali građani i uključuje oporezivanje dohotka od nesamostalne i samostalne djelatnosti, dohotka od imovine i imovinskih prava, od ulaganja kapitala, te od dobitaka ostvarenih sudjelovanjem u nagradnim igrama i igrama na sreću.</w:t>
      </w:r>
    </w:p>
    <w:p w14:paraId="35718E80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6074A049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Zakonom o izmjenama zakona o Pripadnosti javnih prihoda FBiH (Sl. Novine FBiH br. 22/09), propisano je da županijama pripada najviše 65,54% (ranije 71,5%) od poreza na dohodak uplaćenog u svakoj jedinici lokalne samouprave.</w:t>
      </w:r>
    </w:p>
    <w:p w14:paraId="7535FDE9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335ADB57" w14:textId="77777777" w:rsidR="00CF152E" w:rsidRPr="00A315B4" w:rsidRDefault="00CF152E" w:rsidP="00177279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Porez na dohodak je vrsta poreza kojim se oporeziva dohodak fizičkih i pravnih osoba. Postoji više sustava poreza na dohodak u ovisnosti od obujma i učestalosti razreza i naplate.</w:t>
      </w:r>
      <w:r w:rsidR="00877702" w:rsidRPr="00A315B4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Ovaj porez može biti progresivan, degresivan i proporcionalan, ovisno kako je propisano državnim zakonodavstvom.</w:t>
      </w:r>
      <w:r w:rsidR="00177279" w:rsidRPr="00A315B4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 xml:space="preserve">Porez na dohodak u Bosni i Hercegovini reguliran je entitetskim zakonima o porezu na dohodak. </w:t>
      </w:r>
    </w:p>
    <w:p w14:paraId="3F9D70A6" w14:textId="77777777" w:rsidR="009B0551" w:rsidRPr="00A315B4" w:rsidRDefault="009B0551" w:rsidP="00CF152E">
      <w:pPr>
        <w:ind w:firstLine="708"/>
        <w:jc w:val="both"/>
        <w:rPr>
          <w:sz w:val="24"/>
          <w:szCs w:val="24"/>
        </w:rPr>
      </w:pPr>
    </w:p>
    <w:p w14:paraId="15F75431" w14:textId="4AE1F705" w:rsidR="00CF152E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Porez na dohodak se, u skladu sa postojećim zakonskim rješenjima, dijeli između županija i općina, a odnos se utvrđuje putem odgovarajućih propisa na županijskoj razini. U Hercegbosanskoj županiji ovaj omjer je 65,54% u korist Županije i 34,46% u korist općina. </w:t>
      </w:r>
    </w:p>
    <w:p w14:paraId="31E034E4" w14:textId="77777777" w:rsidR="00A05DEA" w:rsidRPr="00A05DEA" w:rsidRDefault="00A05DEA" w:rsidP="00A05DEA">
      <w:pPr>
        <w:spacing w:line="276" w:lineRule="auto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A05DEA">
        <w:rPr>
          <w:rFonts w:eastAsiaTheme="minorEastAsia" w:cstheme="minorBidi"/>
          <w:sz w:val="24"/>
          <w:szCs w:val="22"/>
          <w:lang w:eastAsia="hr-HR"/>
        </w:rPr>
        <w:t>Projekcije prihoda od poreza na dohodak i obveznih socijalnih doprinosa za 2026. Godinu, također su zasnovane na povijesnom i tekućem (Q1 2024) trendu naplate. Imajući u vidu da je u 2024. i 2025. godini godišnji rast prosječne plaće u velikoj mjeri bio vezan za usklađivanje sa inflatornim šokovima, što je na strani naplate prihoda od poreza na dohodak rezultiralo dvoznamenkastim stopama rasta, projekcija navedenih kategorija za 2026. godinu, uzimajući u obzir očekivanu stabilizaciju cijena, ipak pretpostavlja skromniji rast.</w:t>
      </w:r>
    </w:p>
    <w:p w14:paraId="5D055D7C" w14:textId="77777777" w:rsidR="00A05DEA" w:rsidRPr="00A315B4" w:rsidRDefault="00A05DEA" w:rsidP="00CF152E">
      <w:pPr>
        <w:ind w:firstLine="708"/>
        <w:jc w:val="both"/>
        <w:rPr>
          <w:sz w:val="24"/>
          <w:szCs w:val="24"/>
        </w:rPr>
      </w:pPr>
    </w:p>
    <w:p w14:paraId="4C65A501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727802F5" w14:textId="78C771FA" w:rsidR="00CF152E" w:rsidRPr="00A315B4" w:rsidRDefault="00CF152E" w:rsidP="00877702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Stabilan rast prihoda od poreza dohodak, prateći pozitivna očekivanja vezana za tržište rada, nastavlja se i u narednim godinama.</w:t>
      </w:r>
      <w:r w:rsidR="00877702" w:rsidRPr="00A315B4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Projekcije su rađene po konzervativnom pristupu, a imajući u vidu i rizike pri projiciranju i pretpostavci da će doći do modernizacije Porezne uprave uspostavom centralnog registra poreznih obveznika, što bi trebalo osigurati i efikasniju naplatu prihoda.</w:t>
      </w:r>
      <w:r w:rsidR="00177279" w:rsidRPr="00A315B4">
        <w:rPr>
          <w:sz w:val="24"/>
          <w:szCs w:val="24"/>
        </w:rPr>
        <w:t xml:space="preserve"> U nastavku donosimo projekciju prihoda Poreza na dohodak za Županijske i Gradske/općinske budžete u razdoblju 202</w:t>
      </w:r>
      <w:r w:rsidR="00A05DEA">
        <w:rPr>
          <w:sz w:val="24"/>
          <w:szCs w:val="24"/>
        </w:rPr>
        <w:t>7</w:t>
      </w:r>
      <w:r w:rsidR="00177279" w:rsidRPr="00A315B4">
        <w:rPr>
          <w:sz w:val="24"/>
          <w:szCs w:val="24"/>
        </w:rPr>
        <w:t>.-202</w:t>
      </w:r>
      <w:r w:rsidR="00A05DEA">
        <w:rPr>
          <w:sz w:val="24"/>
          <w:szCs w:val="24"/>
        </w:rPr>
        <w:t>9</w:t>
      </w:r>
      <w:r w:rsidR="00177279" w:rsidRPr="00A315B4">
        <w:rPr>
          <w:sz w:val="24"/>
          <w:szCs w:val="24"/>
        </w:rPr>
        <w:t>. godina.</w:t>
      </w:r>
    </w:p>
    <w:p w14:paraId="01166AEB" w14:textId="77777777" w:rsidR="00177279" w:rsidRPr="00A315B4" w:rsidRDefault="00177279" w:rsidP="00877702">
      <w:pPr>
        <w:ind w:firstLine="708"/>
        <w:jc w:val="both"/>
        <w:rPr>
          <w:sz w:val="24"/>
          <w:szCs w:val="24"/>
        </w:rPr>
      </w:pPr>
    </w:p>
    <w:p w14:paraId="35B01DDE" w14:textId="77777777" w:rsidR="004C0B7A" w:rsidRDefault="004C0B7A" w:rsidP="00177279">
      <w:pPr>
        <w:pStyle w:val="Opisslike"/>
      </w:pPr>
    </w:p>
    <w:p w14:paraId="217A69CD" w14:textId="77777777" w:rsidR="004C0B7A" w:rsidRDefault="004C0B7A" w:rsidP="00177279">
      <w:pPr>
        <w:pStyle w:val="Opisslike"/>
      </w:pPr>
    </w:p>
    <w:p w14:paraId="54105ADD" w14:textId="03CE8874" w:rsidR="00177279" w:rsidRPr="00177279" w:rsidRDefault="00177279" w:rsidP="00177279">
      <w:pPr>
        <w:pStyle w:val="Opisslike"/>
        <w:rPr>
          <w:color w:val="000000" w:themeColor="text1"/>
          <w:sz w:val="24"/>
          <w:szCs w:val="24"/>
        </w:rPr>
      </w:pPr>
      <w:bookmarkStart w:id="68" w:name="_Toc232407852"/>
      <w:r>
        <w:lastRenderedPageBreak/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4</w:t>
      </w:r>
      <w:r w:rsidR="00D82381">
        <w:fldChar w:fldCharType="end"/>
      </w:r>
      <w:r>
        <w:t>. Projekcija prihoda od poreza na dohodak u Hercegbosanskoj županiji za razdoblje 202</w:t>
      </w:r>
      <w:r w:rsidR="00A05DEA">
        <w:t>7</w:t>
      </w:r>
      <w:r>
        <w:t>.-202</w:t>
      </w:r>
      <w:r w:rsidR="00A05DEA">
        <w:t>9</w:t>
      </w:r>
      <w:r>
        <w:t>. godina</w:t>
      </w:r>
      <w:bookmarkEnd w:id="68"/>
    </w:p>
    <w:tbl>
      <w:tblPr>
        <w:tblStyle w:val="Svijetlipopis-Isticanje11"/>
        <w:tblW w:w="10206" w:type="dxa"/>
        <w:jc w:val="center"/>
        <w:tblLook w:val="04A0" w:firstRow="1" w:lastRow="0" w:firstColumn="1" w:lastColumn="0" w:noHBand="0" w:noVBand="1"/>
      </w:tblPr>
      <w:tblGrid>
        <w:gridCol w:w="5142"/>
        <w:gridCol w:w="1266"/>
        <w:gridCol w:w="1266"/>
        <w:gridCol w:w="1266"/>
        <w:gridCol w:w="1266"/>
      </w:tblGrid>
      <w:tr w:rsidR="00177279" w:rsidRPr="00CB1418" w14:paraId="1C907F64" w14:textId="77777777" w:rsidTr="00924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vMerge w:val="restart"/>
            <w:noWrap/>
            <w:hideMark/>
          </w:tcPr>
          <w:p w14:paraId="127AB18C" w14:textId="77777777" w:rsidR="00177279" w:rsidRPr="009B7D0F" w:rsidRDefault="00177279" w:rsidP="00840534">
            <w:pPr>
              <w:jc w:val="center"/>
              <w:rPr>
                <w:color w:val="000000"/>
              </w:rPr>
            </w:pPr>
            <w:r w:rsidRPr="009B7D0F">
              <w:rPr>
                <w:color w:val="000000"/>
              </w:rPr>
              <w:t>VRSTA PRIHODA</w:t>
            </w:r>
          </w:p>
        </w:tc>
        <w:tc>
          <w:tcPr>
            <w:tcW w:w="5064" w:type="dxa"/>
            <w:gridSpan w:val="4"/>
            <w:noWrap/>
            <w:hideMark/>
          </w:tcPr>
          <w:p w14:paraId="07F9FDF6" w14:textId="77777777" w:rsidR="00177279" w:rsidRPr="009B7D0F" w:rsidRDefault="00177279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B7D0F">
              <w:rPr>
                <w:color w:val="000000"/>
              </w:rPr>
              <w:t>Projekcija</w:t>
            </w:r>
            <w:r w:rsidRPr="009B7D0F">
              <w:rPr>
                <w:b w:val="0"/>
                <w:bCs w:val="0"/>
                <w:color w:val="000000"/>
              </w:rPr>
              <w:t xml:space="preserve">   u KM</w:t>
            </w:r>
          </w:p>
        </w:tc>
      </w:tr>
      <w:tr w:rsidR="00177279" w:rsidRPr="00CB1418" w14:paraId="4BB8B3DD" w14:textId="77777777" w:rsidTr="0092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vMerge/>
            <w:hideMark/>
          </w:tcPr>
          <w:p w14:paraId="6E73DB91" w14:textId="77777777" w:rsidR="00177279" w:rsidRPr="009B7D0F" w:rsidRDefault="00177279" w:rsidP="00840534">
            <w:pPr>
              <w:rPr>
                <w:color w:val="000000"/>
              </w:rPr>
            </w:pPr>
          </w:p>
        </w:tc>
        <w:tc>
          <w:tcPr>
            <w:tcW w:w="1266" w:type="dxa"/>
            <w:noWrap/>
            <w:hideMark/>
          </w:tcPr>
          <w:p w14:paraId="6DBB4B60" w14:textId="0AD7766B" w:rsidR="00177279" w:rsidRPr="009B7D0F" w:rsidRDefault="00177279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B7D0F">
              <w:rPr>
                <w:b/>
                <w:bCs/>
                <w:color w:val="000000"/>
              </w:rPr>
              <w:t>202</w:t>
            </w:r>
            <w:r w:rsidR="00A05DEA">
              <w:rPr>
                <w:b/>
                <w:bCs/>
                <w:color w:val="000000"/>
              </w:rPr>
              <w:t>6</w:t>
            </w:r>
          </w:p>
        </w:tc>
        <w:tc>
          <w:tcPr>
            <w:tcW w:w="1266" w:type="dxa"/>
            <w:noWrap/>
            <w:hideMark/>
          </w:tcPr>
          <w:p w14:paraId="45478BE6" w14:textId="5988054F" w:rsidR="00177279" w:rsidRPr="009B7D0F" w:rsidRDefault="00177279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B7D0F">
              <w:rPr>
                <w:b/>
                <w:bCs/>
                <w:color w:val="000000"/>
              </w:rPr>
              <w:t>202</w:t>
            </w:r>
            <w:r w:rsidR="00A05DEA">
              <w:rPr>
                <w:b/>
                <w:bCs/>
                <w:color w:val="000000"/>
              </w:rPr>
              <w:t>7</w:t>
            </w:r>
          </w:p>
        </w:tc>
        <w:tc>
          <w:tcPr>
            <w:tcW w:w="1266" w:type="dxa"/>
            <w:noWrap/>
            <w:hideMark/>
          </w:tcPr>
          <w:p w14:paraId="64CED14A" w14:textId="1450E7C9" w:rsidR="00177279" w:rsidRPr="009B7D0F" w:rsidRDefault="00177279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B7D0F">
              <w:rPr>
                <w:b/>
                <w:bCs/>
                <w:color w:val="000000"/>
              </w:rPr>
              <w:t>202</w:t>
            </w:r>
            <w:r w:rsidR="00A05DEA">
              <w:rPr>
                <w:b/>
                <w:bCs/>
                <w:color w:val="000000"/>
              </w:rPr>
              <w:t>8</w:t>
            </w:r>
          </w:p>
        </w:tc>
        <w:tc>
          <w:tcPr>
            <w:tcW w:w="1266" w:type="dxa"/>
            <w:noWrap/>
            <w:hideMark/>
          </w:tcPr>
          <w:p w14:paraId="6D4002CF" w14:textId="5B9A066E" w:rsidR="00177279" w:rsidRPr="009B7D0F" w:rsidRDefault="00177279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B7D0F">
              <w:rPr>
                <w:b/>
                <w:bCs/>
                <w:color w:val="000000"/>
              </w:rPr>
              <w:t>202</w:t>
            </w:r>
            <w:r w:rsidR="00A05DEA">
              <w:rPr>
                <w:b/>
                <w:bCs/>
                <w:color w:val="000000"/>
              </w:rPr>
              <w:t>9</w:t>
            </w:r>
          </w:p>
        </w:tc>
      </w:tr>
      <w:tr w:rsidR="009247E0" w:rsidRPr="00CB1418" w14:paraId="6ECF146C" w14:textId="77777777" w:rsidTr="009247E0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noWrap/>
            <w:hideMark/>
          </w:tcPr>
          <w:p w14:paraId="07D8F816" w14:textId="77777777" w:rsidR="009247E0" w:rsidRPr="009B7D0F" w:rsidRDefault="009247E0" w:rsidP="009247E0">
            <w:pPr>
              <w:rPr>
                <w:color w:val="000000"/>
              </w:rPr>
            </w:pPr>
            <w:r w:rsidRPr="009B7D0F">
              <w:rPr>
                <w:color w:val="000000"/>
              </w:rPr>
              <w:t>1. Porez na dohodak</w:t>
            </w:r>
          </w:p>
        </w:tc>
        <w:tc>
          <w:tcPr>
            <w:tcW w:w="1266" w:type="dxa"/>
            <w:noWrap/>
            <w:hideMark/>
          </w:tcPr>
          <w:p w14:paraId="29B20C75" w14:textId="24FFEEA4" w:rsidR="009247E0" w:rsidRPr="009B7D0F" w:rsidRDefault="009247E0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B7D0F">
              <w:rPr>
                <w:b/>
                <w:bCs/>
                <w:color w:val="000000"/>
              </w:rPr>
              <w:t>1</w:t>
            </w:r>
            <w:r w:rsidR="00A05DEA">
              <w:rPr>
                <w:b/>
                <w:bCs/>
                <w:color w:val="000000"/>
              </w:rPr>
              <w:t>9.351.551</w:t>
            </w:r>
          </w:p>
        </w:tc>
        <w:tc>
          <w:tcPr>
            <w:tcW w:w="1266" w:type="dxa"/>
            <w:noWrap/>
            <w:hideMark/>
          </w:tcPr>
          <w:p w14:paraId="2E949B47" w14:textId="3EB2887D" w:rsidR="009247E0" w:rsidRPr="009B7D0F" w:rsidRDefault="00A05DEA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20.718.710</w:t>
            </w:r>
          </w:p>
        </w:tc>
        <w:tc>
          <w:tcPr>
            <w:tcW w:w="1266" w:type="dxa"/>
            <w:noWrap/>
            <w:hideMark/>
          </w:tcPr>
          <w:p w14:paraId="1615C42B" w14:textId="4C1D776F" w:rsidR="009247E0" w:rsidRPr="009B7D0F" w:rsidRDefault="00A05DEA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22.223.046</w:t>
            </w:r>
          </w:p>
        </w:tc>
        <w:tc>
          <w:tcPr>
            <w:tcW w:w="1266" w:type="dxa"/>
            <w:noWrap/>
            <w:hideMark/>
          </w:tcPr>
          <w:p w14:paraId="5C136323" w14:textId="1FED8930" w:rsidR="009247E0" w:rsidRPr="009B7D0F" w:rsidRDefault="009247E0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A05DEA">
              <w:rPr>
                <w:b/>
                <w:bCs/>
                <w:color w:val="000000"/>
              </w:rPr>
              <w:t>3.894.236</w:t>
            </w:r>
          </w:p>
        </w:tc>
      </w:tr>
      <w:tr w:rsidR="009247E0" w:rsidRPr="00CB1418" w14:paraId="3E5A8E86" w14:textId="77777777" w:rsidTr="00924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noWrap/>
            <w:hideMark/>
          </w:tcPr>
          <w:p w14:paraId="194F63DB" w14:textId="77777777" w:rsidR="009247E0" w:rsidRPr="009B7D0F" w:rsidRDefault="009247E0" w:rsidP="009247E0">
            <w:pPr>
              <w:rPr>
                <w:b w:val="0"/>
                <w:color w:val="000000"/>
              </w:rPr>
            </w:pPr>
            <w:r w:rsidRPr="009B7D0F">
              <w:rPr>
                <w:b w:val="0"/>
                <w:color w:val="000000"/>
              </w:rPr>
              <w:t>1.1. Županijski proračun</w:t>
            </w:r>
          </w:p>
        </w:tc>
        <w:tc>
          <w:tcPr>
            <w:tcW w:w="1266" w:type="dxa"/>
            <w:noWrap/>
            <w:hideMark/>
          </w:tcPr>
          <w:p w14:paraId="15B67C56" w14:textId="18C38829" w:rsidR="009247E0" w:rsidRPr="009B7D0F" w:rsidRDefault="009247E0" w:rsidP="009247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5DEA">
              <w:rPr>
                <w:color w:val="000000"/>
              </w:rPr>
              <w:t>2.683.007</w:t>
            </w:r>
          </w:p>
        </w:tc>
        <w:tc>
          <w:tcPr>
            <w:tcW w:w="1266" w:type="dxa"/>
            <w:noWrap/>
            <w:hideMark/>
          </w:tcPr>
          <w:p w14:paraId="14CCB66D" w14:textId="5A925F80" w:rsidR="009247E0" w:rsidRPr="009B7D0F" w:rsidRDefault="009247E0" w:rsidP="009247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5DEA">
              <w:rPr>
                <w:color w:val="000000"/>
              </w:rPr>
              <w:t>3.579.042</w:t>
            </w:r>
          </w:p>
        </w:tc>
        <w:tc>
          <w:tcPr>
            <w:tcW w:w="1266" w:type="dxa"/>
            <w:noWrap/>
            <w:hideMark/>
          </w:tcPr>
          <w:p w14:paraId="0C7F3C82" w14:textId="7F374D7F" w:rsidR="009247E0" w:rsidRPr="009B7D0F" w:rsidRDefault="009247E0" w:rsidP="009247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5DEA">
              <w:rPr>
                <w:color w:val="000000"/>
              </w:rPr>
              <w:t>4.564.984</w:t>
            </w:r>
          </w:p>
        </w:tc>
        <w:tc>
          <w:tcPr>
            <w:tcW w:w="1266" w:type="dxa"/>
            <w:noWrap/>
            <w:hideMark/>
          </w:tcPr>
          <w:p w14:paraId="0840F097" w14:textId="5EC08931" w:rsidR="009247E0" w:rsidRPr="009B7D0F" w:rsidRDefault="009247E0" w:rsidP="009247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5DEA">
              <w:rPr>
                <w:color w:val="000000"/>
              </w:rPr>
              <w:t>5.660.282</w:t>
            </w:r>
          </w:p>
        </w:tc>
      </w:tr>
      <w:tr w:rsidR="009247E0" w:rsidRPr="00CB1418" w14:paraId="2D5E198E" w14:textId="77777777" w:rsidTr="009247E0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2" w:type="dxa"/>
            <w:noWrap/>
            <w:hideMark/>
          </w:tcPr>
          <w:p w14:paraId="331A70F7" w14:textId="77777777" w:rsidR="009247E0" w:rsidRPr="009B7D0F" w:rsidRDefault="009247E0" w:rsidP="009247E0">
            <w:pPr>
              <w:rPr>
                <w:b w:val="0"/>
                <w:color w:val="000000"/>
              </w:rPr>
            </w:pPr>
            <w:r w:rsidRPr="009B7D0F">
              <w:rPr>
                <w:b w:val="0"/>
                <w:color w:val="000000"/>
              </w:rPr>
              <w:t>1.2. Općinski/gradski proračun</w:t>
            </w:r>
          </w:p>
        </w:tc>
        <w:tc>
          <w:tcPr>
            <w:tcW w:w="1266" w:type="dxa"/>
            <w:noWrap/>
            <w:hideMark/>
          </w:tcPr>
          <w:p w14:paraId="186C75BF" w14:textId="07680BAB" w:rsidR="009247E0" w:rsidRPr="009B7D0F" w:rsidRDefault="009247E0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A05DEA">
              <w:rPr>
                <w:color w:val="000000"/>
              </w:rPr>
              <w:t>668.545</w:t>
            </w:r>
          </w:p>
        </w:tc>
        <w:tc>
          <w:tcPr>
            <w:tcW w:w="1266" w:type="dxa"/>
            <w:noWrap/>
            <w:hideMark/>
          </w:tcPr>
          <w:p w14:paraId="13EDD4D7" w14:textId="4C4D1E74" w:rsidR="009247E0" w:rsidRPr="009B7D0F" w:rsidRDefault="00A05DEA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7.139.667</w:t>
            </w:r>
          </w:p>
        </w:tc>
        <w:tc>
          <w:tcPr>
            <w:tcW w:w="1266" w:type="dxa"/>
            <w:noWrap/>
            <w:hideMark/>
          </w:tcPr>
          <w:p w14:paraId="260AF547" w14:textId="6B4C2544" w:rsidR="009247E0" w:rsidRPr="009B7D0F" w:rsidRDefault="00A05DEA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7.658.062</w:t>
            </w:r>
          </w:p>
        </w:tc>
        <w:tc>
          <w:tcPr>
            <w:tcW w:w="1266" w:type="dxa"/>
            <w:noWrap/>
            <w:hideMark/>
          </w:tcPr>
          <w:p w14:paraId="0D706EFA" w14:textId="1DEEC3D0" w:rsidR="009247E0" w:rsidRPr="009B7D0F" w:rsidRDefault="00A05DEA" w:rsidP="009247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8.233.954</w:t>
            </w:r>
          </w:p>
        </w:tc>
      </w:tr>
    </w:tbl>
    <w:p w14:paraId="0E0720ED" w14:textId="77777777" w:rsidR="00177279" w:rsidRPr="00877FF8" w:rsidRDefault="00177279" w:rsidP="00177279">
      <w:pPr>
        <w:jc w:val="both"/>
        <w:rPr>
          <w:i/>
        </w:rPr>
      </w:pPr>
      <w:r w:rsidRPr="00877FF8">
        <w:rPr>
          <w:i/>
        </w:rPr>
        <w:t>Izvor: Federalno ministarstvo financija</w:t>
      </w:r>
    </w:p>
    <w:p w14:paraId="4286CA63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480F0AD6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041F898A" w14:textId="77777777" w:rsidR="00CF152E" w:rsidRPr="00621D74" w:rsidRDefault="00CF152E" w:rsidP="00CF152E">
      <w:pPr>
        <w:jc w:val="both"/>
        <w:rPr>
          <w:b/>
          <w:i/>
          <w:sz w:val="24"/>
          <w:szCs w:val="24"/>
        </w:rPr>
      </w:pPr>
      <w:r w:rsidRPr="00621D74">
        <w:rPr>
          <w:b/>
          <w:i/>
          <w:sz w:val="24"/>
          <w:szCs w:val="24"/>
        </w:rPr>
        <w:t>Neporezni prihodi</w:t>
      </w:r>
    </w:p>
    <w:p w14:paraId="48EC25C9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267261C5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Neporezni prihodi su vrsta javnih prihoda koji se prikupljaju obveznim plaćanjima pravnih i fizičkih osoba sa obvezom izvršenja posebne usluge tim osobama, u ovu kategoriju prihoda spadaju i novčane kazne.</w:t>
      </w:r>
    </w:p>
    <w:p w14:paraId="0D1D7C90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3F406A6B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Prema Zakonu o pripadnosti javnih prihoda u Federaciji BiH neporezni prihodi određeni su propisima na federalnoj, županijskoj i općinskoj razini, što im određuje i pripadnost po razinama vlasti. S toga, radi potrebe izrade ovog dokumenta, dat je okvir planiranih neporezni</w:t>
      </w:r>
      <w:r w:rsidR="009B0551" w:rsidRPr="00A315B4">
        <w:rPr>
          <w:sz w:val="24"/>
          <w:szCs w:val="24"/>
        </w:rPr>
        <w:t>h prihoda, koji mogu, promatrani</w:t>
      </w:r>
      <w:r w:rsidRPr="00A315B4">
        <w:rPr>
          <w:sz w:val="24"/>
          <w:szCs w:val="24"/>
        </w:rPr>
        <w:t xml:space="preserve"> pojedinačno po županijama, neznatno odstupiti od planova županijskih i općinskih proračuna, koji su samostalni u projiciranju ovih prihoda.</w:t>
      </w:r>
    </w:p>
    <w:p w14:paraId="253F5700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54613765" w14:textId="77777777" w:rsidR="00A05DEA" w:rsidRPr="00A05DEA" w:rsidRDefault="00A05DEA" w:rsidP="00A05DEA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A05DEA">
        <w:rPr>
          <w:rFonts w:eastAsiaTheme="minorEastAsia" w:cstheme="minorBidi"/>
          <w:sz w:val="24"/>
          <w:szCs w:val="22"/>
          <w:lang w:eastAsia="hr-HR"/>
        </w:rPr>
        <w:t xml:space="preserve">Drugi po apsolutnoj veličini prihoda Proračuna je neporezni prihod. U 2027. godini očekuje se prihod od 10,70 </w:t>
      </w:r>
      <w:proofErr w:type="spellStart"/>
      <w:r w:rsidRPr="00A05DEA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A05DEA">
        <w:rPr>
          <w:rFonts w:eastAsiaTheme="minorEastAsia" w:cstheme="minorBidi"/>
          <w:sz w:val="24"/>
          <w:szCs w:val="22"/>
          <w:lang w:eastAsia="hr-HR"/>
        </w:rPr>
        <w:t xml:space="preserve">. KM, u 2028. godini 11,02 </w:t>
      </w:r>
      <w:proofErr w:type="spellStart"/>
      <w:r w:rsidRPr="00A05DEA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A05DEA">
        <w:rPr>
          <w:rFonts w:eastAsiaTheme="minorEastAsia" w:cstheme="minorBidi"/>
          <w:sz w:val="24"/>
          <w:szCs w:val="22"/>
          <w:lang w:eastAsia="hr-HR"/>
        </w:rPr>
        <w:t xml:space="preserve">. KM i u 2029. godini 11,34 </w:t>
      </w:r>
      <w:proofErr w:type="spellStart"/>
      <w:r w:rsidRPr="00A05DEA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A05DEA">
        <w:rPr>
          <w:rFonts w:eastAsiaTheme="minorEastAsia" w:cstheme="minorBidi"/>
          <w:sz w:val="24"/>
          <w:szCs w:val="22"/>
          <w:lang w:eastAsia="hr-HR"/>
        </w:rPr>
        <w:t xml:space="preserve">. KM. Ukupan neporezni prihod po ovoj projekciji, računat indeksom 2026/2025. godina iznosi 144,31 što znači da će prihod u narednoj fiskalnoj godini biti veći za 44,31 % u odnosu na Proračun za 2026. godinu. </w:t>
      </w:r>
    </w:p>
    <w:p w14:paraId="30970671" w14:textId="77777777" w:rsidR="00A05DEA" w:rsidRPr="00A05DEA" w:rsidRDefault="00A05DEA" w:rsidP="00A05DEA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A05DEA">
        <w:rPr>
          <w:rFonts w:eastAsiaTheme="minorEastAsia" w:cstheme="minorBidi"/>
          <w:sz w:val="24"/>
          <w:szCs w:val="22"/>
          <w:lang w:eastAsia="hr-HR"/>
        </w:rPr>
        <w:t>Ostvarenje ovih prihoda uglavnom ovisi od ministarstava i institucija Vlade s obzirom da ovu kategoriju čine prihodi od taksi, naknada, prihodi od vlastite djelatnosti, naknada prema županijskim i federalnim propisima i aktivnostima Vlade oko iznalaženja novih potpora i donacija.</w:t>
      </w:r>
    </w:p>
    <w:p w14:paraId="458D0E0C" w14:textId="56CF43B3" w:rsidR="00CF152E" w:rsidRPr="00A315B4" w:rsidRDefault="00CF152E" w:rsidP="005B15F1">
      <w:pPr>
        <w:ind w:firstLine="708"/>
        <w:jc w:val="both"/>
        <w:rPr>
          <w:sz w:val="24"/>
          <w:szCs w:val="24"/>
        </w:rPr>
      </w:pPr>
    </w:p>
    <w:p w14:paraId="4F60CCC2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4F9C059E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Neporezni prihodi uglavnom pokazuju značajne oscilacije i ovise od realizacije planova rada pojedinih ministarstava i institucija, obzirom da ovu kategoriju čine prihodi od pristojbi, naknada, prihoda pružanja javnih usluga ( prihodi od vlastitih djelatnosti korisnika proračuna i vlastiti prihodi) i naknada prema županijskim propisima.</w:t>
      </w:r>
    </w:p>
    <w:p w14:paraId="2F9061C1" w14:textId="77777777" w:rsidR="009B0551" w:rsidRPr="00A315B4" w:rsidRDefault="00CF152E" w:rsidP="009B0551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 </w:t>
      </w:r>
    </w:p>
    <w:p w14:paraId="5102FD68" w14:textId="77777777" w:rsidR="00CF152E" w:rsidRPr="00A315B4" w:rsidRDefault="00CF152E" w:rsidP="009B0551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Ministarstvo financija već duži niz godina upozorava Vladu HBŽ da ovaj prihod može znatno porasti ukoliko bi se učinili potrebni zahvati kod svih ministarstava i uprava koja ostvaruju naknade, takse i pristojbe po županijskim propisima.</w:t>
      </w:r>
    </w:p>
    <w:p w14:paraId="7AC065E1" w14:textId="77777777" w:rsidR="00CF152E" w:rsidRPr="00621D74" w:rsidRDefault="00CF152E" w:rsidP="00CF152E">
      <w:pPr>
        <w:jc w:val="both"/>
        <w:rPr>
          <w:spacing w:val="-8"/>
          <w:sz w:val="24"/>
          <w:szCs w:val="24"/>
        </w:rPr>
      </w:pPr>
    </w:p>
    <w:p w14:paraId="4211668B" w14:textId="77777777" w:rsidR="00CF152E" w:rsidRPr="00621D74" w:rsidRDefault="00CF152E" w:rsidP="00CF152E">
      <w:pPr>
        <w:jc w:val="both"/>
        <w:rPr>
          <w:spacing w:val="-8"/>
          <w:sz w:val="24"/>
          <w:szCs w:val="24"/>
        </w:rPr>
      </w:pPr>
    </w:p>
    <w:p w14:paraId="6F883D43" w14:textId="77777777" w:rsidR="004C0B7A" w:rsidRDefault="004C0B7A" w:rsidP="00CF152E">
      <w:pPr>
        <w:jc w:val="both"/>
        <w:rPr>
          <w:b/>
          <w:i/>
          <w:sz w:val="24"/>
          <w:szCs w:val="24"/>
        </w:rPr>
      </w:pPr>
    </w:p>
    <w:p w14:paraId="0373E17F" w14:textId="77777777" w:rsidR="004C0B7A" w:rsidRDefault="004C0B7A" w:rsidP="00CF152E">
      <w:pPr>
        <w:jc w:val="both"/>
        <w:rPr>
          <w:b/>
          <w:i/>
          <w:sz w:val="24"/>
          <w:szCs w:val="24"/>
        </w:rPr>
      </w:pPr>
    </w:p>
    <w:p w14:paraId="4B0AAD4A" w14:textId="77777777" w:rsidR="004C0B7A" w:rsidRDefault="004C0B7A" w:rsidP="00CF152E">
      <w:pPr>
        <w:jc w:val="both"/>
        <w:rPr>
          <w:b/>
          <w:i/>
          <w:sz w:val="24"/>
          <w:szCs w:val="24"/>
        </w:rPr>
      </w:pPr>
    </w:p>
    <w:p w14:paraId="4CA718EC" w14:textId="77777777" w:rsidR="00A05DEA" w:rsidRDefault="00A05DEA" w:rsidP="00CF152E">
      <w:pPr>
        <w:jc w:val="both"/>
        <w:rPr>
          <w:b/>
          <w:i/>
          <w:sz w:val="24"/>
          <w:szCs w:val="24"/>
        </w:rPr>
      </w:pPr>
    </w:p>
    <w:p w14:paraId="196F986B" w14:textId="77777777" w:rsidR="00A05DEA" w:rsidRDefault="00A05DEA" w:rsidP="00CF152E">
      <w:pPr>
        <w:jc w:val="both"/>
        <w:rPr>
          <w:b/>
          <w:i/>
          <w:sz w:val="24"/>
          <w:szCs w:val="24"/>
        </w:rPr>
      </w:pPr>
    </w:p>
    <w:p w14:paraId="5F0601DB" w14:textId="77777777" w:rsidR="004C0B7A" w:rsidRDefault="004C0B7A" w:rsidP="00CF152E">
      <w:pPr>
        <w:jc w:val="both"/>
        <w:rPr>
          <w:b/>
          <w:i/>
          <w:sz w:val="24"/>
          <w:szCs w:val="24"/>
        </w:rPr>
      </w:pPr>
    </w:p>
    <w:p w14:paraId="3097BB70" w14:textId="73A6BF4E" w:rsidR="00CF152E" w:rsidRDefault="00CF152E" w:rsidP="00CF152E">
      <w:pPr>
        <w:jc w:val="both"/>
        <w:rPr>
          <w:b/>
          <w:i/>
          <w:color w:val="007BB8"/>
          <w:sz w:val="24"/>
          <w:szCs w:val="24"/>
        </w:rPr>
      </w:pPr>
      <w:r w:rsidRPr="00A05DEA">
        <w:rPr>
          <w:b/>
          <w:i/>
          <w:color w:val="007BB8"/>
          <w:sz w:val="24"/>
          <w:szCs w:val="24"/>
        </w:rPr>
        <w:lastRenderedPageBreak/>
        <w:t>Ukupni prihod Županije</w:t>
      </w:r>
    </w:p>
    <w:p w14:paraId="755C5A40" w14:textId="77777777" w:rsidR="00CB4A6B" w:rsidRPr="00A05DEA" w:rsidRDefault="00CB4A6B" w:rsidP="00CF152E">
      <w:pPr>
        <w:jc w:val="both"/>
        <w:rPr>
          <w:b/>
          <w:i/>
          <w:color w:val="007BB8"/>
          <w:sz w:val="24"/>
          <w:szCs w:val="24"/>
        </w:rPr>
      </w:pPr>
    </w:p>
    <w:p w14:paraId="42DFE6E9" w14:textId="77777777" w:rsidR="00CB4A6B" w:rsidRPr="00CB4A6B" w:rsidRDefault="00CB4A6B" w:rsidP="00CB4A6B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CB4A6B">
        <w:rPr>
          <w:rFonts w:eastAsiaTheme="minorEastAsia" w:cstheme="minorBidi"/>
          <w:sz w:val="24"/>
          <w:szCs w:val="22"/>
          <w:lang w:eastAsia="hr-HR"/>
        </w:rPr>
        <w:t xml:space="preserve">Porezni prihodi prema ovoj projekciji za 2026. godinu  biti će veći za 6,34% u odnosu na plan proračuna iz 2025. godine i iznositi će 127,26mil. KM, za 2027.godinu 135,65,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 i za 2028.godinu 167,79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KM, te za 2029. godinu  150,06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>. KM.</w:t>
      </w:r>
    </w:p>
    <w:p w14:paraId="22AA60F2" w14:textId="77777777" w:rsidR="00CB4A6B" w:rsidRPr="00CB4A6B" w:rsidRDefault="00CB4A6B" w:rsidP="00CB4A6B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CB4A6B">
        <w:rPr>
          <w:rFonts w:eastAsiaTheme="minorEastAsia" w:cstheme="minorBidi"/>
          <w:sz w:val="24"/>
          <w:szCs w:val="22"/>
          <w:lang w:eastAsia="hr-HR"/>
        </w:rPr>
        <w:t xml:space="preserve">Najveću stavku u poreznom prihodu čini neizravni porez-PDV za Županiju i Upravu za ceste. Prihodi od neizravnih poreza-PDV prema projekcijama koji će biti dostupni Hercegbosanskoj županiji u 2027. godini iznositi će 108,93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KM, u 2028.godini 114,31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 i u 2029. godini 120,86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KM. Iz pripadajućeg dijela prihoda od Federacije BiH, izravno se vrši uplata za servisiranje vanjskog duga, a preostali dio sredstava sa Jedinstvenoga računa raspoređuje se između Federacije, županija, općina i Direkcija za ceste. </w:t>
      </w:r>
    </w:p>
    <w:p w14:paraId="7D55F7C1" w14:textId="77777777" w:rsidR="00CB4A6B" w:rsidRPr="00CB4A6B" w:rsidRDefault="00CB4A6B" w:rsidP="00CB4A6B">
      <w:pPr>
        <w:spacing w:after="200"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CB4A6B">
        <w:rPr>
          <w:rFonts w:eastAsiaTheme="minorEastAsia" w:cstheme="minorBidi"/>
          <w:sz w:val="24"/>
          <w:szCs w:val="22"/>
          <w:lang w:eastAsia="hr-HR"/>
        </w:rPr>
        <w:t xml:space="preserve">U ovoj kategoriji prihoda značajno mjesto zauzima porez na dohodak, koji zbog rasta plaća povećan u 2026. godini, te će u narednom razdoblju ima značajan rast. Sukladno tome prihodi po ovoj osnovi iznosit će 13,58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 u 2027. godini, 14,56mil. KM u 2028. i 15,66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>. KM u 2029. godini. S obzirom na dosadašnji indeks izvršenja ove vrste prihoda smatramo da je realno isplaniran za naredno srednjoročno razdoblje.</w:t>
      </w:r>
    </w:p>
    <w:p w14:paraId="1C05A6A6" w14:textId="77777777" w:rsidR="00F6241B" w:rsidRDefault="00F6241B" w:rsidP="00CF152E">
      <w:pPr>
        <w:jc w:val="both"/>
        <w:rPr>
          <w:b/>
          <w:i/>
          <w:sz w:val="24"/>
          <w:szCs w:val="24"/>
        </w:rPr>
      </w:pPr>
    </w:p>
    <w:p w14:paraId="0CE5EC68" w14:textId="77777777" w:rsidR="00F6241B" w:rsidRDefault="00F6241B" w:rsidP="00F6241B">
      <w:pPr>
        <w:keepNext/>
        <w:keepLines/>
        <w:spacing w:before="200" w:line="276" w:lineRule="auto"/>
        <w:outlineLvl w:val="2"/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2"/>
          <w:lang w:eastAsia="hr-HR"/>
        </w:rPr>
      </w:pPr>
      <w:bookmarkStart w:id="69" w:name="_Toc167178026"/>
      <w:bookmarkStart w:id="70" w:name="_Toc232407832"/>
      <w:r w:rsidRPr="00F6241B"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2"/>
          <w:lang w:eastAsia="hr-HR"/>
        </w:rPr>
        <w:t>5.1.2. Neporezni prihod</w:t>
      </w:r>
      <w:bookmarkEnd w:id="69"/>
      <w:bookmarkEnd w:id="70"/>
    </w:p>
    <w:p w14:paraId="7D802170" w14:textId="77777777" w:rsidR="00CB4A6B" w:rsidRPr="00F6241B" w:rsidRDefault="00CB4A6B" w:rsidP="00F6241B">
      <w:pPr>
        <w:keepNext/>
        <w:keepLines/>
        <w:spacing w:before="200" w:line="276" w:lineRule="auto"/>
        <w:outlineLvl w:val="2"/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2"/>
          <w:lang w:eastAsia="hr-HR"/>
        </w:rPr>
      </w:pPr>
    </w:p>
    <w:p w14:paraId="251BD67E" w14:textId="77777777" w:rsidR="00CB4A6B" w:rsidRPr="00CB4A6B" w:rsidRDefault="00CB4A6B" w:rsidP="00CB4A6B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CB4A6B">
        <w:rPr>
          <w:rFonts w:eastAsiaTheme="minorEastAsia" w:cstheme="minorBidi"/>
          <w:sz w:val="24"/>
          <w:szCs w:val="22"/>
          <w:lang w:eastAsia="hr-HR"/>
        </w:rPr>
        <w:t xml:space="preserve">Drugi po apsolutnoj veličini prihoda Proračuna je neporezni prihod. U 2027. godini očekuje se prihod od 10,70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KM, u 2028. godini 11,02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 i u 2029. godini 11,34 </w:t>
      </w:r>
      <w:proofErr w:type="spellStart"/>
      <w:r w:rsidRPr="00CB4A6B">
        <w:rPr>
          <w:rFonts w:eastAsiaTheme="minorEastAsia" w:cstheme="minorBidi"/>
          <w:sz w:val="24"/>
          <w:szCs w:val="22"/>
          <w:lang w:eastAsia="hr-HR"/>
        </w:rPr>
        <w:t>mil</w:t>
      </w:r>
      <w:proofErr w:type="spellEnd"/>
      <w:r w:rsidRPr="00CB4A6B">
        <w:rPr>
          <w:rFonts w:eastAsiaTheme="minorEastAsia" w:cstheme="minorBidi"/>
          <w:sz w:val="24"/>
          <w:szCs w:val="22"/>
          <w:lang w:eastAsia="hr-HR"/>
        </w:rPr>
        <w:t xml:space="preserve">. KM. Ukupan neporezni prihod po ovoj projekciji, računat indeksom 2026/2025. godina iznosi 144,31 što znači da će prihod u narednoj fiskalnoj godini biti veći za 44,31 % u odnosu na Proračun za 2026. godinu. </w:t>
      </w:r>
    </w:p>
    <w:p w14:paraId="38007917" w14:textId="77777777" w:rsidR="00CB4A6B" w:rsidRPr="00CB4A6B" w:rsidRDefault="00CB4A6B" w:rsidP="00CB4A6B">
      <w:pPr>
        <w:spacing w:line="276" w:lineRule="auto"/>
        <w:ind w:firstLine="720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CB4A6B">
        <w:rPr>
          <w:rFonts w:eastAsiaTheme="minorEastAsia" w:cstheme="minorBidi"/>
          <w:sz w:val="24"/>
          <w:szCs w:val="22"/>
          <w:lang w:eastAsia="hr-HR"/>
        </w:rPr>
        <w:t>Ostvarenje ovih prihoda uglavnom ovisi od ministarstava i institucija Vlade s obzirom da ovu kategoriju čine prihodi od taksi, naknada, prihodi od vlastite djelatnosti, naknada prema županijskim i federalnim propisima i aktivnostima Vlade oko iznalaženja novih potpora i donacija.</w:t>
      </w:r>
    </w:p>
    <w:p w14:paraId="76541AB9" w14:textId="77777777" w:rsidR="00346D0D" w:rsidRDefault="00346D0D" w:rsidP="00CF152E">
      <w:pPr>
        <w:jc w:val="both"/>
        <w:rPr>
          <w:b/>
          <w:i/>
          <w:sz w:val="24"/>
          <w:szCs w:val="24"/>
        </w:rPr>
      </w:pPr>
    </w:p>
    <w:p w14:paraId="234B3AB2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594E608C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18B498CB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06D2240A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6854D836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44AC52A2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49BF168E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6A1FDC3E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3D37748C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0599C4EC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47C78009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30FD3EB0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79DB0E34" w14:textId="77777777" w:rsidR="00CB4A6B" w:rsidRDefault="00CB4A6B" w:rsidP="00CF152E">
      <w:pPr>
        <w:jc w:val="both"/>
        <w:rPr>
          <w:b/>
          <w:i/>
          <w:sz w:val="24"/>
          <w:szCs w:val="24"/>
        </w:rPr>
      </w:pPr>
    </w:p>
    <w:p w14:paraId="601FA6F2" w14:textId="77777777" w:rsidR="00CB4A6B" w:rsidRPr="00621D74" w:rsidRDefault="00CB4A6B" w:rsidP="00CF152E">
      <w:pPr>
        <w:jc w:val="both"/>
        <w:rPr>
          <w:b/>
          <w:i/>
          <w:sz w:val="24"/>
          <w:szCs w:val="24"/>
        </w:rPr>
      </w:pPr>
    </w:p>
    <w:p w14:paraId="6F9556D8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4F31927B" w14:textId="3F196216" w:rsidR="00CF152E" w:rsidRDefault="00AC7A15" w:rsidP="00AC7A15">
      <w:pPr>
        <w:pStyle w:val="Opisslike"/>
      </w:pPr>
      <w:bookmarkStart w:id="71" w:name="_Toc232407853"/>
      <w:r>
        <w:lastRenderedPageBreak/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5</w:t>
      </w:r>
      <w:r w:rsidR="00D82381">
        <w:fldChar w:fldCharType="end"/>
      </w:r>
      <w:r>
        <w:t>. Prihodi Hercegbos</w:t>
      </w:r>
      <w:r w:rsidR="00C62371">
        <w:t>anske županije za razdoblje 202</w:t>
      </w:r>
      <w:r w:rsidR="00CB4A6B">
        <w:t>7</w:t>
      </w:r>
      <w:r w:rsidR="00C62371">
        <w:t>.-202</w:t>
      </w:r>
      <w:r w:rsidR="00CB4A6B">
        <w:t>9</w:t>
      </w:r>
      <w:r>
        <w:t xml:space="preserve">. </w:t>
      </w:r>
      <w:r w:rsidR="00877702">
        <w:t>g</w:t>
      </w:r>
      <w:r>
        <w:t>odina</w:t>
      </w:r>
      <w:r w:rsidR="00877702">
        <w:t xml:space="preserve"> u mil KM</w:t>
      </w:r>
      <w:bookmarkEnd w:id="71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1048"/>
        <w:gridCol w:w="2844"/>
        <w:gridCol w:w="1151"/>
        <w:gridCol w:w="912"/>
        <w:gridCol w:w="912"/>
        <w:gridCol w:w="912"/>
        <w:gridCol w:w="915"/>
        <w:gridCol w:w="1229"/>
      </w:tblGrid>
      <w:tr w:rsidR="00C62371" w:rsidRPr="005D768B" w14:paraId="11B342F2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 w:val="restart"/>
            <w:noWrap/>
            <w:hideMark/>
          </w:tcPr>
          <w:p w14:paraId="3BCD55D2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Konto</w:t>
            </w:r>
          </w:p>
        </w:tc>
        <w:tc>
          <w:tcPr>
            <w:tcW w:w="2784" w:type="dxa"/>
            <w:vMerge w:val="restart"/>
            <w:noWrap/>
            <w:hideMark/>
          </w:tcPr>
          <w:p w14:paraId="4F622AA9" w14:textId="77777777" w:rsidR="00C62371" w:rsidRPr="005D768B" w:rsidRDefault="00C62371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Vrsta prihoda</w:t>
            </w:r>
          </w:p>
        </w:tc>
        <w:tc>
          <w:tcPr>
            <w:tcW w:w="1127" w:type="dxa"/>
            <w:noWrap/>
            <w:hideMark/>
          </w:tcPr>
          <w:p w14:paraId="040B7947" w14:textId="77777777" w:rsidR="00C62371" w:rsidRPr="005D768B" w:rsidRDefault="00C62371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Izvršenje</w:t>
            </w:r>
          </w:p>
        </w:tc>
        <w:tc>
          <w:tcPr>
            <w:tcW w:w="3575" w:type="dxa"/>
            <w:gridSpan w:val="4"/>
            <w:noWrap/>
            <w:hideMark/>
          </w:tcPr>
          <w:p w14:paraId="47385124" w14:textId="77777777" w:rsidR="00C62371" w:rsidRPr="005D768B" w:rsidRDefault="00C62371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Prognoza</w:t>
            </w:r>
          </w:p>
        </w:tc>
        <w:tc>
          <w:tcPr>
            <w:tcW w:w="1203" w:type="dxa"/>
            <w:vMerge w:val="restart"/>
            <w:hideMark/>
          </w:tcPr>
          <w:p w14:paraId="568D9C55" w14:textId="0F587745" w:rsidR="00C62371" w:rsidRPr="005D768B" w:rsidRDefault="00C62371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Indeks 202</w:t>
            </w:r>
            <w:r w:rsidR="003E4D83">
              <w:rPr>
                <w:color w:val="000000"/>
              </w:rPr>
              <w:t>6</w:t>
            </w:r>
            <w:r w:rsidRPr="005D768B">
              <w:rPr>
                <w:color w:val="000000"/>
              </w:rPr>
              <w:t>/202</w:t>
            </w:r>
            <w:r w:rsidR="003E4D83">
              <w:rPr>
                <w:color w:val="000000"/>
              </w:rPr>
              <w:t>5</w:t>
            </w:r>
          </w:p>
        </w:tc>
      </w:tr>
      <w:tr w:rsidR="00C62371" w:rsidRPr="005D768B" w14:paraId="0DBE8DF3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vMerge/>
            <w:hideMark/>
          </w:tcPr>
          <w:p w14:paraId="251BFE21" w14:textId="77777777" w:rsidR="00C62371" w:rsidRPr="005D768B" w:rsidRDefault="00C62371" w:rsidP="00840534">
            <w:pPr>
              <w:rPr>
                <w:color w:val="000000"/>
              </w:rPr>
            </w:pPr>
          </w:p>
        </w:tc>
        <w:tc>
          <w:tcPr>
            <w:tcW w:w="2784" w:type="dxa"/>
            <w:vMerge/>
            <w:hideMark/>
          </w:tcPr>
          <w:p w14:paraId="3DF10504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27" w:type="dxa"/>
            <w:noWrap/>
            <w:hideMark/>
          </w:tcPr>
          <w:p w14:paraId="625A39CD" w14:textId="5D388038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D768B">
              <w:rPr>
                <w:b/>
                <w:bCs/>
              </w:rPr>
              <w:t>202</w:t>
            </w:r>
            <w:r w:rsidR="00CB4A6B">
              <w:rPr>
                <w:b/>
                <w:bCs/>
              </w:rPr>
              <w:t>5</w:t>
            </w:r>
            <w:r w:rsidRPr="005D768B">
              <w:rPr>
                <w:b/>
                <w:bCs/>
              </w:rPr>
              <w:t>.</w:t>
            </w:r>
          </w:p>
        </w:tc>
        <w:tc>
          <w:tcPr>
            <w:tcW w:w="893" w:type="dxa"/>
            <w:noWrap/>
            <w:hideMark/>
          </w:tcPr>
          <w:p w14:paraId="3A685506" w14:textId="04D29519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D768B">
              <w:rPr>
                <w:b/>
                <w:bCs/>
              </w:rPr>
              <w:t>202</w:t>
            </w:r>
            <w:r w:rsidR="00CB4A6B">
              <w:rPr>
                <w:b/>
                <w:bCs/>
              </w:rPr>
              <w:t>6</w:t>
            </w:r>
            <w:r w:rsidRPr="005D768B">
              <w:rPr>
                <w:b/>
                <w:bCs/>
              </w:rPr>
              <w:t>.</w:t>
            </w:r>
          </w:p>
        </w:tc>
        <w:tc>
          <w:tcPr>
            <w:tcW w:w="893" w:type="dxa"/>
            <w:noWrap/>
            <w:hideMark/>
          </w:tcPr>
          <w:p w14:paraId="4F92A211" w14:textId="4DC44218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202</w:t>
            </w:r>
            <w:r w:rsidR="00CB4A6B">
              <w:rPr>
                <w:b/>
                <w:bCs/>
                <w:color w:val="000000"/>
              </w:rPr>
              <w:t>7</w:t>
            </w:r>
            <w:r w:rsidRPr="005D768B">
              <w:rPr>
                <w:b/>
                <w:bCs/>
                <w:color w:val="000000"/>
              </w:rPr>
              <w:t>.</w:t>
            </w:r>
          </w:p>
        </w:tc>
        <w:tc>
          <w:tcPr>
            <w:tcW w:w="893" w:type="dxa"/>
            <w:noWrap/>
            <w:hideMark/>
          </w:tcPr>
          <w:p w14:paraId="47604CAD" w14:textId="0C8799FE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202</w:t>
            </w:r>
            <w:r w:rsidR="00CB4A6B">
              <w:rPr>
                <w:b/>
                <w:bCs/>
                <w:color w:val="000000"/>
              </w:rPr>
              <w:t>8</w:t>
            </w:r>
            <w:r w:rsidRPr="005D768B">
              <w:rPr>
                <w:b/>
                <w:bCs/>
                <w:color w:val="000000"/>
              </w:rPr>
              <w:t>.</w:t>
            </w:r>
          </w:p>
        </w:tc>
        <w:tc>
          <w:tcPr>
            <w:tcW w:w="895" w:type="dxa"/>
            <w:noWrap/>
            <w:hideMark/>
          </w:tcPr>
          <w:p w14:paraId="546A7545" w14:textId="1DBC5DA6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202</w:t>
            </w:r>
            <w:r w:rsidR="00CB4A6B">
              <w:rPr>
                <w:b/>
                <w:bCs/>
                <w:color w:val="000000"/>
              </w:rPr>
              <w:t>9</w:t>
            </w:r>
            <w:r w:rsidRPr="005D768B">
              <w:rPr>
                <w:b/>
                <w:bCs/>
                <w:color w:val="000000"/>
              </w:rPr>
              <w:t>.</w:t>
            </w:r>
          </w:p>
        </w:tc>
        <w:tc>
          <w:tcPr>
            <w:tcW w:w="1203" w:type="dxa"/>
            <w:vMerge/>
            <w:hideMark/>
          </w:tcPr>
          <w:p w14:paraId="1321AB8A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C62371" w:rsidRPr="005D768B" w14:paraId="37D47349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62585B52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 </w:t>
            </w:r>
          </w:p>
        </w:tc>
        <w:tc>
          <w:tcPr>
            <w:tcW w:w="2784" w:type="dxa"/>
            <w:noWrap/>
            <w:hideMark/>
          </w:tcPr>
          <w:p w14:paraId="72B453E5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UKUPNI PRIHODI</w:t>
            </w:r>
          </w:p>
        </w:tc>
        <w:tc>
          <w:tcPr>
            <w:tcW w:w="1127" w:type="dxa"/>
            <w:noWrap/>
            <w:hideMark/>
          </w:tcPr>
          <w:p w14:paraId="0B0362BE" w14:textId="63147633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D768B">
              <w:rPr>
                <w:b/>
                <w:bCs/>
              </w:rPr>
              <w:t>1</w:t>
            </w:r>
            <w:r w:rsidR="00CB4A6B">
              <w:rPr>
                <w:b/>
                <w:bCs/>
              </w:rPr>
              <w:t>34,00</w:t>
            </w:r>
          </w:p>
        </w:tc>
        <w:tc>
          <w:tcPr>
            <w:tcW w:w="893" w:type="dxa"/>
            <w:noWrap/>
            <w:hideMark/>
          </w:tcPr>
          <w:p w14:paraId="1BEFD1E4" w14:textId="2873EB50" w:rsidR="00C62371" w:rsidRPr="005D768B" w:rsidRDefault="003E4D83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4A6B">
              <w:rPr>
                <w:b/>
                <w:bCs/>
              </w:rPr>
              <w:t>55,36</w:t>
            </w:r>
          </w:p>
        </w:tc>
        <w:tc>
          <w:tcPr>
            <w:tcW w:w="893" w:type="dxa"/>
            <w:noWrap/>
            <w:hideMark/>
          </w:tcPr>
          <w:p w14:paraId="5A53DA83" w14:textId="6D079D81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CB4A6B">
              <w:rPr>
                <w:b/>
                <w:bCs/>
                <w:color w:val="000000"/>
              </w:rPr>
              <w:t>60,</w:t>
            </w:r>
            <w:r w:rsidR="007D41AA">
              <w:rPr>
                <w:b/>
                <w:bCs/>
                <w:color w:val="000000"/>
              </w:rPr>
              <w:t>74</w:t>
            </w:r>
          </w:p>
        </w:tc>
        <w:tc>
          <w:tcPr>
            <w:tcW w:w="893" w:type="dxa"/>
            <w:noWrap/>
            <w:hideMark/>
          </w:tcPr>
          <w:p w14:paraId="5DF2C6C1" w14:textId="13F59BB6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67,79</w:t>
            </w:r>
          </w:p>
        </w:tc>
        <w:tc>
          <w:tcPr>
            <w:tcW w:w="895" w:type="dxa"/>
            <w:noWrap/>
            <w:hideMark/>
          </w:tcPr>
          <w:p w14:paraId="45BFBAEC" w14:textId="6C5EDE8C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76,39</w:t>
            </w:r>
          </w:p>
        </w:tc>
        <w:tc>
          <w:tcPr>
            <w:tcW w:w="1203" w:type="dxa"/>
            <w:noWrap/>
            <w:hideMark/>
          </w:tcPr>
          <w:p w14:paraId="6772BD48" w14:textId="7DAACE98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15,94</w:t>
            </w:r>
          </w:p>
        </w:tc>
      </w:tr>
      <w:tr w:rsidR="00C62371" w:rsidRPr="005D768B" w14:paraId="2FD7BF08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6C578238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 </w:t>
            </w:r>
          </w:p>
        </w:tc>
        <w:tc>
          <w:tcPr>
            <w:tcW w:w="2784" w:type="dxa"/>
            <w:noWrap/>
            <w:hideMark/>
          </w:tcPr>
          <w:p w14:paraId="742BA237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I Porezni prihodi</w:t>
            </w:r>
          </w:p>
        </w:tc>
        <w:tc>
          <w:tcPr>
            <w:tcW w:w="1127" w:type="dxa"/>
            <w:noWrap/>
            <w:hideMark/>
          </w:tcPr>
          <w:p w14:paraId="48FB0C32" w14:textId="2BA82264" w:rsidR="00C62371" w:rsidRPr="005D768B" w:rsidRDefault="003E4D83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4A6B">
              <w:rPr>
                <w:b/>
                <w:bCs/>
              </w:rPr>
              <w:t>19,67</w:t>
            </w:r>
          </w:p>
        </w:tc>
        <w:tc>
          <w:tcPr>
            <w:tcW w:w="893" w:type="dxa"/>
            <w:noWrap/>
            <w:hideMark/>
          </w:tcPr>
          <w:p w14:paraId="620FA983" w14:textId="3FCE6ACD" w:rsidR="00C62371" w:rsidRPr="005D768B" w:rsidRDefault="003E4D83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4A6B">
              <w:rPr>
                <w:b/>
                <w:bCs/>
              </w:rPr>
              <w:t>27,26</w:t>
            </w:r>
          </w:p>
        </w:tc>
        <w:tc>
          <w:tcPr>
            <w:tcW w:w="893" w:type="dxa"/>
            <w:noWrap/>
            <w:hideMark/>
          </w:tcPr>
          <w:p w14:paraId="0DE6EE25" w14:textId="41F145F3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CB4A6B">
              <w:rPr>
                <w:b/>
                <w:bCs/>
                <w:color w:val="000000"/>
              </w:rPr>
              <w:t>35,</w:t>
            </w:r>
            <w:r w:rsidR="007D41AA">
              <w:rPr>
                <w:b/>
                <w:bCs/>
                <w:color w:val="000000"/>
              </w:rPr>
              <w:t>04</w:t>
            </w:r>
          </w:p>
        </w:tc>
        <w:tc>
          <w:tcPr>
            <w:tcW w:w="893" w:type="dxa"/>
            <w:noWrap/>
            <w:hideMark/>
          </w:tcPr>
          <w:p w14:paraId="6F4AB5F7" w14:textId="075F6CE1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42,21</w:t>
            </w:r>
          </w:p>
        </w:tc>
        <w:tc>
          <w:tcPr>
            <w:tcW w:w="895" w:type="dxa"/>
            <w:noWrap/>
            <w:hideMark/>
          </w:tcPr>
          <w:p w14:paraId="2033AB3C" w14:textId="50BF442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50,06</w:t>
            </w:r>
          </w:p>
        </w:tc>
        <w:tc>
          <w:tcPr>
            <w:tcW w:w="1203" w:type="dxa"/>
            <w:noWrap/>
            <w:hideMark/>
          </w:tcPr>
          <w:p w14:paraId="793CE2DA" w14:textId="0DD3489E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06,34</w:t>
            </w:r>
          </w:p>
        </w:tc>
      </w:tr>
      <w:tr w:rsidR="00C62371" w:rsidRPr="005D768B" w14:paraId="00F16AF3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02C856E0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717</w:t>
            </w:r>
          </w:p>
        </w:tc>
        <w:tc>
          <w:tcPr>
            <w:tcW w:w="2784" w:type="dxa"/>
            <w:noWrap/>
            <w:hideMark/>
          </w:tcPr>
          <w:p w14:paraId="5AB96EFE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Neizravni porezi- Županija</w:t>
            </w:r>
          </w:p>
        </w:tc>
        <w:tc>
          <w:tcPr>
            <w:tcW w:w="1127" w:type="dxa"/>
            <w:noWrap/>
            <w:hideMark/>
          </w:tcPr>
          <w:p w14:paraId="16E3F925" w14:textId="581CFCA7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97,81</w:t>
            </w:r>
          </w:p>
        </w:tc>
        <w:tc>
          <w:tcPr>
            <w:tcW w:w="893" w:type="dxa"/>
            <w:noWrap/>
            <w:hideMark/>
          </w:tcPr>
          <w:p w14:paraId="42D9B604" w14:textId="5FE3E13C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101,00</w:t>
            </w:r>
          </w:p>
        </w:tc>
        <w:tc>
          <w:tcPr>
            <w:tcW w:w="893" w:type="dxa"/>
            <w:noWrap/>
            <w:hideMark/>
          </w:tcPr>
          <w:p w14:paraId="35288C6C" w14:textId="1CADB695" w:rsidR="00C62371" w:rsidRPr="005D768B" w:rsidRDefault="003E4D83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B4A6B">
              <w:rPr>
                <w:color w:val="000000"/>
              </w:rPr>
              <w:t>8,</w:t>
            </w:r>
            <w:r w:rsidR="007D41AA">
              <w:rPr>
                <w:color w:val="000000"/>
              </w:rPr>
              <w:t>32</w:t>
            </w:r>
          </w:p>
        </w:tc>
        <w:tc>
          <w:tcPr>
            <w:tcW w:w="893" w:type="dxa"/>
            <w:noWrap/>
            <w:hideMark/>
          </w:tcPr>
          <w:p w14:paraId="6F9FE452" w14:textId="2D5DE38A" w:rsidR="00C62371" w:rsidRPr="005D768B" w:rsidRDefault="003E4D83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570D">
              <w:rPr>
                <w:color w:val="000000"/>
              </w:rPr>
              <w:t>14,31</w:t>
            </w:r>
          </w:p>
        </w:tc>
        <w:tc>
          <w:tcPr>
            <w:tcW w:w="895" w:type="dxa"/>
            <w:noWrap/>
            <w:hideMark/>
          </w:tcPr>
          <w:p w14:paraId="64071CDE" w14:textId="6AF28865" w:rsidR="00C62371" w:rsidRPr="005D768B" w:rsidRDefault="003E4D83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570D">
              <w:rPr>
                <w:color w:val="000000"/>
              </w:rPr>
              <w:t>20,86</w:t>
            </w:r>
          </w:p>
        </w:tc>
        <w:tc>
          <w:tcPr>
            <w:tcW w:w="1203" w:type="dxa"/>
            <w:noWrap/>
            <w:hideMark/>
          </w:tcPr>
          <w:p w14:paraId="7FEB4CE2" w14:textId="15A8CBE1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1</w:t>
            </w:r>
            <w:r w:rsidR="0095570D">
              <w:rPr>
                <w:color w:val="000000"/>
              </w:rPr>
              <w:t>03,16</w:t>
            </w:r>
          </w:p>
        </w:tc>
      </w:tr>
      <w:tr w:rsidR="00C62371" w:rsidRPr="005D768B" w14:paraId="55E3AC6B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48A08EAB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717</w:t>
            </w:r>
          </w:p>
        </w:tc>
        <w:tc>
          <w:tcPr>
            <w:tcW w:w="2784" w:type="dxa"/>
            <w:noWrap/>
            <w:hideMark/>
          </w:tcPr>
          <w:p w14:paraId="528E1E46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Neizravni porezi- Uprava za ceste</w:t>
            </w:r>
          </w:p>
        </w:tc>
        <w:tc>
          <w:tcPr>
            <w:tcW w:w="1127" w:type="dxa"/>
            <w:noWrap/>
            <w:hideMark/>
          </w:tcPr>
          <w:p w14:paraId="312C34CE" w14:textId="17116BA5" w:rsidR="00C62371" w:rsidRPr="005D768B" w:rsidRDefault="00CB4A6B" w:rsidP="00CB4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C62371" w:rsidRPr="005D768B">
              <w:t>0,</w:t>
            </w:r>
            <w:r>
              <w:t>1</w:t>
            </w:r>
          </w:p>
        </w:tc>
        <w:tc>
          <w:tcPr>
            <w:tcW w:w="893" w:type="dxa"/>
            <w:noWrap/>
            <w:hideMark/>
          </w:tcPr>
          <w:p w14:paraId="07F2805B" w14:textId="70F57BFF" w:rsidR="00C62371" w:rsidRPr="005D768B" w:rsidRDefault="00CB4A6B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3,61</w:t>
            </w:r>
          </w:p>
        </w:tc>
        <w:tc>
          <w:tcPr>
            <w:tcW w:w="893" w:type="dxa"/>
            <w:noWrap/>
            <w:hideMark/>
          </w:tcPr>
          <w:p w14:paraId="7D32DB67" w14:textId="686337F6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4,</w:t>
            </w:r>
            <w:r w:rsidR="00CB4A6B">
              <w:rPr>
                <w:color w:val="000000"/>
              </w:rPr>
              <w:t>84</w:t>
            </w:r>
          </w:p>
        </w:tc>
        <w:tc>
          <w:tcPr>
            <w:tcW w:w="893" w:type="dxa"/>
            <w:noWrap/>
            <w:hideMark/>
          </w:tcPr>
          <w:p w14:paraId="2317EF0A" w14:textId="12ED7636" w:rsidR="00C62371" w:rsidRPr="005D768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5,07</w:t>
            </w:r>
          </w:p>
        </w:tc>
        <w:tc>
          <w:tcPr>
            <w:tcW w:w="895" w:type="dxa"/>
            <w:noWrap/>
            <w:hideMark/>
          </w:tcPr>
          <w:p w14:paraId="683A0668" w14:textId="401A7B79" w:rsidR="00C62371" w:rsidRPr="005D768B" w:rsidRDefault="003E4D83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95570D">
              <w:rPr>
                <w:color w:val="000000"/>
              </w:rPr>
              <w:t>34</w:t>
            </w:r>
          </w:p>
        </w:tc>
        <w:tc>
          <w:tcPr>
            <w:tcW w:w="1203" w:type="dxa"/>
            <w:noWrap/>
            <w:hideMark/>
          </w:tcPr>
          <w:p w14:paraId="1514B154" w14:textId="6D10ED27" w:rsidR="00C62371" w:rsidRPr="0095570D" w:rsidRDefault="0095570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95570D">
              <w:rPr>
                <w:color w:val="000000"/>
                <w:sz w:val="18"/>
                <w:szCs w:val="18"/>
              </w:rPr>
              <w:t>3,618,00</w:t>
            </w:r>
          </w:p>
        </w:tc>
      </w:tr>
      <w:tr w:rsidR="00C62371" w:rsidRPr="005D768B" w14:paraId="18DE4EAB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1A5A7AF6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711</w:t>
            </w:r>
          </w:p>
        </w:tc>
        <w:tc>
          <w:tcPr>
            <w:tcW w:w="2784" w:type="dxa"/>
            <w:noWrap/>
            <w:hideMark/>
          </w:tcPr>
          <w:p w14:paraId="1C2BED09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Porez na dobit</w:t>
            </w:r>
          </w:p>
        </w:tc>
        <w:tc>
          <w:tcPr>
            <w:tcW w:w="1127" w:type="dxa"/>
            <w:noWrap/>
            <w:hideMark/>
          </w:tcPr>
          <w:p w14:paraId="5C31388D" w14:textId="1D80F549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9,05</w:t>
            </w:r>
          </w:p>
        </w:tc>
        <w:tc>
          <w:tcPr>
            <w:tcW w:w="893" w:type="dxa"/>
            <w:noWrap/>
            <w:hideMark/>
          </w:tcPr>
          <w:p w14:paraId="67536198" w14:textId="4627481D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9,19</w:t>
            </w:r>
          </w:p>
        </w:tc>
        <w:tc>
          <w:tcPr>
            <w:tcW w:w="893" w:type="dxa"/>
            <w:noWrap/>
            <w:hideMark/>
          </w:tcPr>
          <w:p w14:paraId="04D40566" w14:textId="5F3F489C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8,13</w:t>
            </w:r>
          </w:p>
        </w:tc>
        <w:tc>
          <w:tcPr>
            <w:tcW w:w="893" w:type="dxa"/>
            <w:noWrap/>
            <w:hideMark/>
          </w:tcPr>
          <w:p w14:paraId="54DFD339" w14:textId="77F402D3" w:rsidR="00C62371" w:rsidRPr="005D768B" w:rsidRDefault="0095570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8,15</w:t>
            </w:r>
          </w:p>
        </w:tc>
        <w:tc>
          <w:tcPr>
            <w:tcW w:w="895" w:type="dxa"/>
            <w:noWrap/>
            <w:hideMark/>
          </w:tcPr>
          <w:p w14:paraId="29B72240" w14:textId="4035B424" w:rsidR="00C62371" w:rsidRPr="005D768B" w:rsidRDefault="0095570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8,17</w:t>
            </w:r>
          </w:p>
        </w:tc>
        <w:tc>
          <w:tcPr>
            <w:tcW w:w="1203" w:type="dxa"/>
            <w:noWrap/>
            <w:hideMark/>
          </w:tcPr>
          <w:p w14:paraId="71A9C458" w14:textId="1B993522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10</w:t>
            </w:r>
            <w:r w:rsidR="0095570D">
              <w:rPr>
                <w:color w:val="000000"/>
              </w:rPr>
              <w:t>1,56</w:t>
            </w:r>
          </w:p>
        </w:tc>
      </w:tr>
      <w:tr w:rsidR="00C62371" w:rsidRPr="005D768B" w14:paraId="65A921B7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237CC2C6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714</w:t>
            </w:r>
          </w:p>
        </w:tc>
        <w:tc>
          <w:tcPr>
            <w:tcW w:w="2784" w:type="dxa"/>
            <w:noWrap/>
            <w:hideMark/>
          </w:tcPr>
          <w:p w14:paraId="0448F8CE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Porezi građana</w:t>
            </w:r>
          </w:p>
        </w:tc>
        <w:tc>
          <w:tcPr>
            <w:tcW w:w="1127" w:type="dxa"/>
            <w:noWrap/>
            <w:hideMark/>
          </w:tcPr>
          <w:p w14:paraId="7E7DA643" w14:textId="1F5BD9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</w:t>
            </w:r>
            <w:r w:rsidR="00584322">
              <w:t>8</w:t>
            </w:r>
            <w:r w:rsidR="00CB4A6B">
              <w:t>8</w:t>
            </w:r>
          </w:p>
        </w:tc>
        <w:tc>
          <w:tcPr>
            <w:tcW w:w="893" w:type="dxa"/>
            <w:noWrap/>
            <w:hideMark/>
          </w:tcPr>
          <w:p w14:paraId="356057B8" w14:textId="00DE572F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</w:t>
            </w:r>
            <w:r w:rsidR="00584322">
              <w:t>95</w:t>
            </w:r>
          </w:p>
        </w:tc>
        <w:tc>
          <w:tcPr>
            <w:tcW w:w="893" w:type="dxa"/>
            <w:noWrap/>
            <w:hideMark/>
          </w:tcPr>
          <w:p w14:paraId="4C11FF97" w14:textId="074ADBC2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</w:t>
            </w:r>
            <w:r w:rsidR="00CB4A6B">
              <w:rPr>
                <w:color w:val="000000"/>
              </w:rPr>
              <w:t>98</w:t>
            </w:r>
          </w:p>
        </w:tc>
        <w:tc>
          <w:tcPr>
            <w:tcW w:w="893" w:type="dxa"/>
            <w:noWrap/>
            <w:hideMark/>
          </w:tcPr>
          <w:p w14:paraId="69872436" w14:textId="6175CA56" w:rsidR="00C62371" w:rsidRPr="005D768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895" w:type="dxa"/>
            <w:noWrap/>
            <w:hideMark/>
          </w:tcPr>
          <w:p w14:paraId="00851C17" w14:textId="7E993551" w:rsidR="00C62371" w:rsidRPr="005D768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1203" w:type="dxa"/>
            <w:noWrap/>
            <w:hideMark/>
          </w:tcPr>
          <w:p w14:paraId="0D93441F" w14:textId="5225BBBA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1</w:t>
            </w:r>
            <w:r w:rsidR="00584322">
              <w:rPr>
                <w:color w:val="000000"/>
              </w:rPr>
              <w:t>0</w:t>
            </w:r>
            <w:r w:rsidR="0095570D">
              <w:rPr>
                <w:color w:val="000000"/>
              </w:rPr>
              <w:t>7,95</w:t>
            </w:r>
          </w:p>
        </w:tc>
      </w:tr>
      <w:tr w:rsidR="00C62371" w:rsidRPr="005D768B" w14:paraId="5BEE0C51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247F67A0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716</w:t>
            </w:r>
          </w:p>
        </w:tc>
        <w:tc>
          <w:tcPr>
            <w:tcW w:w="2784" w:type="dxa"/>
            <w:noWrap/>
            <w:hideMark/>
          </w:tcPr>
          <w:p w14:paraId="46B723C4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Porez na plaće/dohodak</w:t>
            </w:r>
          </w:p>
        </w:tc>
        <w:tc>
          <w:tcPr>
            <w:tcW w:w="1127" w:type="dxa"/>
            <w:noWrap/>
            <w:hideMark/>
          </w:tcPr>
          <w:p w14:paraId="7AE3EA58" w14:textId="1154AA91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11,65</w:t>
            </w:r>
          </w:p>
        </w:tc>
        <w:tc>
          <w:tcPr>
            <w:tcW w:w="893" w:type="dxa"/>
            <w:noWrap/>
            <w:hideMark/>
          </w:tcPr>
          <w:p w14:paraId="14A23180" w14:textId="32FB9ADA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B4A6B">
              <w:t>2,42</w:t>
            </w:r>
          </w:p>
        </w:tc>
        <w:tc>
          <w:tcPr>
            <w:tcW w:w="893" w:type="dxa"/>
            <w:noWrap/>
            <w:hideMark/>
          </w:tcPr>
          <w:p w14:paraId="2D51B4F9" w14:textId="5C2DE99E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12,</w:t>
            </w:r>
            <w:r w:rsidR="00CB4A6B">
              <w:rPr>
                <w:color w:val="000000"/>
              </w:rPr>
              <w:t>68</w:t>
            </w:r>
          </w:p>
        </w:tc>
        <w:tc>
          <w:tcPr>
            <w:tcW w:w="893" w:type="dxa"/>
            <w:noWrap/>
            <w:hideMark/>
          </w:tcPr>
          <w:p w14:paraId="32987426" w14:textId="581CD3A8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1</w:t>
            </w:r>
            <w:r w:rsidR="00584322">
              <w:rPr>
                <w:color w:val="000000"/>
              </w:rPr>
              <w:t>3,</w:t>
            </w:r>
            <w:r w:rsidR="0095570D">
              <w:rPr>
                <w:color w:val="000000"/>
              </w:rPr>
              <w:t>58</w:t>
            </w:r>
          </w:p>
        </w:tc>
        <w:tc>
          <w:tcPr>
            <w:tcW w:w="895" w:type="dxa"/>
            <w:noWrap/>
            <w:hideMark/>
          </w:tcPr>
          <w:p w14:paraId="1DAC986B" w14:textId="59FD3C70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5570D">
              <w:rPr>
                <w:color w:val="000000"/>
              </w:rPr>
              <w:t>4,56</w:t>
            </w:r>
          </w:p>
        </w:tc>
        <w:tc>
          <w:tcPr>
            <w:tcW w:w="1203" w:type="dxa"/>
            <w:noWrap/>
            <w:hideMark/>
          </w:tcPr>
          <w:p w14:paraId="016006B5" w14:textId="4D18F505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1</w:t>
            </w:r>
            <w:r w:rsidR="00584322">
              <w:rPr>
                <w:color w:val="000000"/>
              </w:rPr>
              <w:t>0</w:t>
            </w:r>
            <w:r w:rsidR="0095570D">
              <w:rPr>
                <w:color w:val="000000"/>
              </w:rPr>
              <w:t>6,70</w:t>
            </w:r>
          </w:p>
        </w:tc>
      </w:tr>
      <w:tr w:rsidR="00C62371" w:rsidRPr="005D768B" w14:paraId="1995D649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hideMark/>
          </w:tcPr>
          <w:p w14:paraId="565B72F7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713,715, 719</w:t>
            </w:r>
          </w:p>
        </w:tc>
        <w:tc>
          <w:tcPr>
            <w:tcW w:w="2784" w:type="dxa"/>
            <w:noWrap/>
            <w:hideMark/>
          </w:tcPr>
          <w:p w14:paraId="0D56567C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Ostali porezi</w:t>
            </w:r>
          </w:p>
        </w:tc>
        <w:tc>
          <w:tcPr>
            <w:tcW w:w="1127" w:type="dxa"/>
            <w:noWrap/>
            <w:hideMark/>
          </w:tcPr>
          <w:p w14:paraId="444083FA" w14:textId="0465CB0B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</w:t>
            </w:r>
            <w:r w:rsidR="00584322">
              <w:t>1</w:t>
            </w:r>
            <w:r w:rsidR="00CB4A6B">
              <w:t>8</w:t>
            </w:r>
          </w:p>
        </w:tc>
        <w:tc>
          <w:tcPr>
            <w:tcW w:w="893" w:type="dxa"/>
            <w:noWrap/>
            <w:hideMark/>
          </w:tcPr>
          <w:p w14:paraId="7A13D8BF" w14:textId="47436A6D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</w:t>
            </w:r>
            <w:r w:rsidR="00CB4A6B">
              <w:t>09</w:t>
            </w:r>
          </w:p>
        </w:tc>
        <w:tc>
          <w:tcPr>
            <w:tcW w:w="893" w:type="dxa"/>
            <w:noWrap/>
            <w:hideMark/>
          </w:tcPr>
          <w:p w14:paraId="666F09CD" w14:textId="0252F0DC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</w:t>
            </w:r>
            <w:r w:rsidR="00CB4A6B">
              <w:rPr>
                <w:color w:val="000000"/>
              </w:rPr>
              <w:t>9</w:t>
            </w:r>
          </w:p>
        </w:tc>
        <w:tc>
          <w:tcPr>
            <w:tcW w:w="893" w:type="dxa"/>
            <w:noWrap/>
            <w:hideMark/>
          </w:tcPr>
          <w:p w14:paraId="4CD7E566" w14:textId="00D50F7B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</w:t>
            </w:r>
            <w:r w:rsidR="0095570D">
              <w:rPr>
                <w:color w:val="000000"/>
              </w:rPr>
              <w:t>9</w:t>
            </w:r>
          </w:p>
        </w:tc>
        <w:tc>
          <w:tcPr>
            <w:tcW w:w="895" w:type="dxa"/>
            <w:noWrap/>
            <w:hideMark/>
          </w:tcPr>
          <w:p w14:paraId="1188516D" w14:textId="3B37FC71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</w:t>
            </w:r>
            <w:r w:rsidR="0095570D">
              <w:rPr>
                <w:color w:val="000000"/>
              </w:rPr>
              <w:t>9</w:t>
            </w:r>
          </w:p>
        </w:tc>
        <w:tc>
          <w:tcPr>
            <w:tcW w:w="1203" w:type="dxa"/>
            <w:noWrap/>
            <w:hideMark/>
          </w:tcPr>
          <w:p w14:paraId="35A86E22" w14:textId="0CAAD7BD" w:rsidR="00C62371" w:rsidRPr="005D768B" w:rsidRDefault="0095570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C62371" w:rsidRPr="005D768B" w14:paraId="3BD4E6FB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244A7062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 </w:t>
            </w:r>
          </w:p>
        </w:tc>
        <w:tc>
          <w:tcPr>
            <w:tcW w:w="2784" w:type="dxa"/>
            <w:noWrap/>
            <w:hideMark/>
          </w:tcPr>
          <w:p w14:paraId="56C62C7A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II Neporezni prihodi</w:t>
            </w:r>
          </w:p>
        </w:tc>
        <w:tc>
          <w:tcPr>
            <w:tcW w:w="1127" w:type="dxa"/>
            <w:noWrap/>
            <w:hideMark/>
          </w:tcPr>
          <w:p w14:paraId="0BA52C19" w14:textId="6263B7F6" w:rsidR="00C62371" w:rsidRPr="005D768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7,20</w:t>
            </w:r>
          </w:p>
        </w:tc>
        <w:tc>
          <w:tcPr>
            <w:tcW w:w="893" w:type="dxa"/>
            <w:noWrap/>
            <w:hideMark/>
          </w:tcPr>
          <w:p w14:paraId="5A998483" w14:textId="76FDBD1A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B4A6B">
              <w:rPr>
                <w:b/>
                <w:bCs/>
              </w:rPr>
              <w:t>0,39</w:t>
            </w:r>
          </w:p>
        </w:tc>
        <w:tc>
          <w:tcPr>
            <w:tcW w:w="893" w:type="dxa"/>
            <w:noWrap/>
            <w:hideMark/>
          </w:tcPr>
          <w:p w14:paraId="4E7D6FBA" w14:textId="5141B9F8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CB4A6B">
              <w:rPr>
                <w:b/>
                <w:bCs/>
                <w:color w:val="000000"/>
              </w:rPr>
              <w:t>0,</w:t>
            </w:r>
            <w:r w:rsidR="000E2E90">
              <w:rPr>
                <w:b/>
                <w:bCs/>
                <w:color w:val="000000"/>
              </w:rPr>
              <w:t>69</w:t>
            </w:r>
          </w:p>
        </w:tc>
        <w:tc>
          <w:tcPr>
            <w:tcW w:w="893" w:type="dxa"/>
            <w:noWrap/>
            <w:hideMark/>
          </w:tcPr>
          <w:p w14:paraId="3D34201E" w14:textId="79D2ED18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1,02</w:t>
            </w:r>
          </w:p>
        </w:tc>
        <w:tc>
          <w:tcPr>
            <w:tcW w:w="895" w:type="dxa"/>
            <w:noWrap/>
            <w:hideMark/>
          </w:tcPr>
          <w:p w14:paraId="13C0E7CF" w14:textId="0E40B99E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1</w:t>
            </w:r>
            <w:r w:rsidR="0095570D">
              <w:rPr>
                <w:b/>
                <w:bCs/>
                <w:color w:val="000000"/>
              </w:rPr>
              <w:t>1,34</w:t>
            </w:r>
          </w:p>
        </w:tc>
        <w:tc>
          <w:tcPr>
            <w:tcW w:w="1203" w:type="dxa"/>
            <w:noWrap/>
            <w:hideMark/>
          </w:tcPr>
          <w:p w14:paraId="6A89998F" w14:textId="15428FBF" w:rsidR="00C62371" w:rsidRPr="005D768B" w:rsidRDefault="00584322" w:rsidP="0058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1</w:t>
            </w:r>
            <w:r w:rsidR="0095570D">
              <w:rPr>
                <w:b/>
                <w:bCs/>
                <w:color w:val="000000"/>
              </w:rPr>
              <w:t>44,31</w:t>
            </w:r>
          </w:p>
        </w:tc>
      </w:tr>
      <w:tr w:rsidR="00C62371" w:rsidRPr="005D768B" w14:paraId="614C564C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71ADF177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721</w:t>
            </w:r>
          </w:p>
        </w:tc>
        <w:tc>
          <w:tcPr>
            <w:tcW w:w="2784" w:type="dxa"/>
            <w:noWrap/>
            <w:hideMark/>
          </w:tcPr>
          <w:p w14:paraId="39154A9B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Prihodi od poduzetničke imovine</w:t>
            </w:r>
          </w:p>
        </w:tc>
        <w:tc>
          <w:tcPr>
            <w:tcW w:w="1127" w:type="dxa"/>
            <w:noWrap/>
            <w:hideMark/>
          </w:tcPr>
          <w:p w14:paraId="00DBF733" w14:textId="1FFF2103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</w:t>
            </w:r>
            <w:r w:rsidR="00CB4A6B">
              <w:t>,95</w:t>
            </w:r>
          </w:p>
        </w:tc>
        <w:tc>
          <w:tcPr>
            <w:tcW w:w="893" w:type="dxa"/>
            <w:noWrap/>
            <w:hideMark/>
          </w:tcPr>
          <w:p w14:paraId="11A71FAB" w14:textId="690B13D8" w:rsidR="00C62371" w:rsidRPr="005D768B" w:rsidRDefault="00CB4A6B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2,25</w:t>
            </w:r>
          </w:p>
        </w:tc>
        <w:tc>
          <w:tcPr>
            <w:tcW w:w="893" w:type="dxa"/>
            <w:noWrap/>
            <w:hideMark/>
          </w:tcPr>
          <w:p w14:paraId="5376A92E" w14:textId="06A9F110" w:rsidR="00C62371" w:rsidRPr="005D768B" w:rsidRDefault="000E2E90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3,37</w:t>
            </w:r>
          </w:p>
        </w:tc>
        <w:tc>
          <w:tcPr>
            <w:tcW w:w="893" w:type="dxa"/>
            <w:noWrap/>
            <w:hideMark/>
          </w:tcPr>
          <w:p w14:paraId="0A4528B0" w14:textId="724661EA" w:rsidR="00C62371" w:rsidRPr="005D768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895" w:type="dxa"/>
            <w:noWrap/>
            <w:hideMark/>
          </w:tcPr>
          <w:p w14:paraId="1A369100" w14:textId="7354B517" w:rsidR="00C62371" w:rsidRPr="005D768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2,46</w:t>
            </w:r>
          </w:p>
        </w:tc>
        <w:tc>
          <w:tcPr>
            <w:tcW w:w="1203" w:type="dxa"/>
            <w:noWrap/>
            <w:hideMark/>
          </w:tcPr>
          <w:p w14:paraId="3A657528" w14:textId="2E9A2CE2" w:rsidR="00C62371" w:rsidRPr="005D768B" w:rsidRDefault="0095570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236,84</w:t>
            </w:r>
          </w:p>
        </w:tc>
      </w:tr>
      <w:tr w:rsidR="00C62371" w:rsidRPr="005D768B" w14:paraId="1EEB0B0D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4897887C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722</w:t>
            </w:r>
          </w:p>
        </w:tc>
        <w:tc>
          <w:tcPr>
            <w:tcW w:w="2784" w:type="dxa"/>
            <w:noWrap/>
            <w:hideMark/>
          </w:tcPr>
          <w:p w14:paraId="785BE5F2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Takse, naknade i pristojbe</w:t>
            </w:r>
          </w:p>
        </w:tc>
        <w:tc>
          <w:tcPr>
            <w:tcW w:w="1127" w:type="dxa"/>
            <w:noWrap/>
            <w:hideMark/>
          </w:tcPr>
          <w:p w14:paraId="78915A24" w14:textId="38DB7E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68B">
              <w:t>4,</w:t>
            </w:r>
            <w:r w:rsidR="00CB4A6B">
              <w:t>64</w:t>
            </w:r>
          </w:p>
        </w:tc>
        <w:tc>
          <w:tcPr>
            <w:tcW w:w="893" w:type="dxa"/>
            <w:noWrap/>
            <w:hideMark/>
          </w:tcPr>
          <w:p w14:paraId="7B3C0033" w14:textId="471268EF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CB4A6B">
              <w:t>,11</w:t>
            </w:r>
          </w:p>
        </w:tc>
        <w:tc>
          <w:tcPr>
            <w:tcW w:w="893" w:type="dxa"/>
            <w:noWrap/>
            <w:hideMark/>
          </w:tcPr>
          <w:p w14:paraId="47E09EBC" w14:textId="5666AC2E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CB4A6B">
              <w:rPr>
                <w:color w:val="000000"/>
              </w:rPr>
              <w:t>32</w:t>
            </w:r>
          </w:p>
        </w:tc>
        <w:tc>
          <w:tcPr>
            <w:tcW w:w="893" w:type="dxa"/>
            <w:noWrap/>
            <w:hideMark/>
          </w:tcPr>
          <w:p w14:paraId="0F367608" w14:textId="28BD044C" w:rsidR="00C62371" w:rsidRPr="005D768B" w:rsidRDefault="00584322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7,5</w:t>
            </w:r>
            <w:r w:rsidR="0095570D">
              <w:rPr>
                <w:color w:val="000000"/>
              </w:rPr>
              <w:t>4</w:t>
            </w:r>
          </w:p>
        </w:tc>
        <w:tc>
          <w:tcPr>
            <w:tcW w:w="895" w:type="dxa"/>
            <w:noWrap/>
            <w:hideMark/>
          </w:tcPr>
          <w:p w14:paraId="375ABB51" w14:textId="702FACFF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7,</w:t>
            </w:r>
            <w:r w:rsidR="0095570D">
              <w:rPr>
                <w:color w:val="000000"/>
              </w:rPr>
              <w:t>76</w:t>
            </w:r>
          </w:p>
        </w:tc>
        <w:tc>
          <w:tcPr>
            <w:tcW w:w="1203" w:type="dxa"/>
            <w:noWrap/>
            <w:hideMark/>
          </w:tcPr>
          <w:p w14:paraId="2ED0E4EC" w14:textId="730DAA3C" w:rsidR="00C62371" w:rsidRPr="005D768B" w:rsidRDefault="0095570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153,23</w:t>
            </w:r>
          </w:p>
        </w:tc>
      </w:tr>
      <w:tr w:rsidR="00C62371" w:rsidRPr="005D768B" w14:paraId="43538BFF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3A13B8FB" w14:textId="77777777" w:rsidR="00C62371" w:rsidRPr="00CB4A6B" w:rsidRDefault="00C62371" w:rsidP="00840534">
            <w:pPr>
              <w:jc w:val="center"/>
              <w:rPr>
                <w:color w:val="000000"/>
              </w:rPr>
            </w:pPr>
            <w:r w:rsidRPr="00CB4A6B">
              <w:rPr>
                <w:color w:val="000000"/>
              </w:rPr>
              <w:t>723</w:t>
            </w:r>
          </w:p>
        </w:tc>
        <w:tc>
          <w:tcPr>
            <w:tcW w:w="2784" w:type="dxa"/>
            <w:noWrap/>
            <w:hideMark/>
          </w:tcPr>
          <w:p w14:paraId="21AC450F" w14:textId="77777777" w:rsidR="00C62371" w:rsidRPr="00CB4A6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Novčane kazne</w:t>
            </w:r>
          </w:p>
        </w:tc>
        <w:tc>
          <w:tcPr>
            <w:tcW w:w="1127" w:type="dxa"/>
            <w:noWrap/>
            <w:hideMark/>
          </w:tcPr>
          <w:p w14:paraId="68E21C0D" w14:textId="3FB62123" w:rsidR="00C62371" w:rsidRPr="00CB4A6B" w:rsidRDefault="00584322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4A6B">
              <w:rPr>
                <w:b/>
                <w:bCs/>
              </w:rPr>
              <w:t>1,</w:t>
            </w:r>
            <w:r w:rsidR="00CB4A6B" w:rsidRPr="00CB4A6B">
              <w:rPr>
                <w:b/>
                <w:bCs/>
              </w:rPr>
              <w:t>61</w:t>
            </w:r>
          </w:p>
        </w:tc>
        <w:tc>
          <w:tcPr>
            <w:tcW w:w="893" w:type="dxa"/>
            <w:noWrap/>
            <w:hideMark/>
          </w:tcPr>
          <w:p w14:paraId="455B0320" w14:textId="2A9DED8D" w:rsidR="00C62371" w:rsidRPr="00CB4A6B" w:rsidRDefault="00CB4A6B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1,03</w:t>
            </w:r>
          </w:p>
        </w:tc>
        <w:tc>
          <w:tcPr>
            <w:tcW w:w="893" w:type="dxa"/>
            <w:noWrap/>
            <w:hideMark/>
          </w:tcPr>
          <w:p w14:paraId="4F93CBC0" w14:textId="3D36EB46" w:rsidR="00C62371" w:rsidRPr="00CB4A6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1,06</w:t>
            </w:r>
          </w:p>
        </w:tc>
        <w:tc>
          <w:tcPr>
            <w:tcW w:w="893" w:type="dxa"/>
            <w:noWrap/>
            <w:hideMark/>
          </w:tcPr>
          <w:p w14:paraId="73FC5884" w14:textId="6B4849D0" w:rsidR="00C62371" w:rsidRPr="00CB4A6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1,09</w:t>
            </w:r>
          </w:p>
        </w:tc>
        <w:tc>
          <w:tcPr>
            <w:tcW w:w="895" w:type="dxa"/>
            <w:noWrap/>
            <w:hideMark/>
          </w:tcPr>
          <w:p w14:paraId="32DCC301" w14:textId="51E79789" w:rsidR="00C62371" w:rsidRPr="00CB4A6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1,12</w:t>
            </w:r>
          </w:p>
        </w:tc>
        <w:tc>
          <w:tcPr>
            <w:tcW w:w="1203" w:type="dxa"/>
            <w:noWrap/>
            <w:hideMark/>
          </w:tcPr>
          <w:p w14:paraId="5A31CB5D" w14:textId="09B3502F" w:rsidR="00C62371" w:rsidRPr="00CB4A6B" w:rsidRDefault="0095570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63,98</w:t>
            </w:r>
          </w:p>
        </w:tc>
      </w:tr>
      <w:tr w:rsidR="00C62371" w:rsidRPr="005D768B" w14:paraId="61B37C80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772E8DF9" w14:textId="77777777" w:rsidR="00C62371" w:rsidRPr="00CB4A6B" w:rsidRDefault="00C62371" w:rsidP="00840534">
            <w:pPr>
              <w:jc w:val="center"/>
              <w:rPr>
                <w:color w:val="000000"/>
              </w:rPr>
            </w:pPr>
            <w:r w:rsidRPr="00CB4A6B">
              <w:rPr>
                <w:color w:val="000000"/>
              </w:rPr>
              <w:t>730</w:t>
            </w:r>
          </w:p>
        </w:tc>
        <w:tc>
          <w:tcPr>
            <w:tcW w:w="2784" w:type="dxa"/>
            <w:noWrap/>
            <w:hideMark/>
          </w:tcPr>
          <w:p w14:paraId="50098F94" w14:textId="77777777" w:rsidR="00C62371" w:rsidRPr="00CB4A6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Potpore</w:t>
            </w:r>
          </w:p>
        </w:tc>
        <w:tc>
          <w:tcPr>
            <w:tcW w:w="1127" w:type="dxa"/>
            <w:noWrap/>
            <w:hideMark/>
          </w:tcPr>
          <w:p w14:paraId="19D60001" w14:textId="30F4AFFC" w:rsidR="00C62371" w:rsidRPr="00CB4A6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4A6B">
              <w:rPr>
                <w:b/>
                <w:bCs/>
              </w:rPr>
              <w:t>6,57</w:t>
            </w:r>
          </w:p>
        </w:tc>
        <w:tc>
          <w:tcPr>
            <w:tcW w:w="893" w:type="dxa"/>
            <w:noWrap/>
            <w:hideMark/>
          </w:tcPr>
          <w:p w14:paraId="41CAD4AB" w14:textId="375BA3C4" w:rsidR="00C62371" w:rsidRPr="00CB4A6B" w:rsidRDefault="00CB4A6B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10,19</w:t>
            </w:r>
          </w:p>
        </w:tc>
        <w:tc>
          <w:tcPr>
            <w:tcW w:w="893" w:type="dxa"/>
            <w:noWrap/>
            <w:hideMark/>
          </w:tcPr>
          <w:p w14:paraId="1D4D87B4" w14:textId="694D1323" w:rsidR="00C62371" w:rsidRPr="00CB4A6B" w:rsidRDefault="0095570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</w:t>
            </w:r>
            <w:r w:rsidR="000E2E90">
              <w:rPr>
                <w:b/>
                <w:bCs/>
                <w:color w:val="000000"/>
              </w:rPr>
              <w:t>35</w:t>
            </w:r>
          </w:p>
        </w:tc>
        <w:tc>
          <w:tcPr>
            <w:tcW w:w="893" w:type="dxa"/>
            <w:noWrap/>
            <w:hideMark/>
          </w:tcPr>
          <w:p w14:paraId="425BC73A" w14:textId="2F5D9004" w:rsidR="00C62371" w:rsidRPr="00CB4A6B" w:rsidRDefault="0095570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10,82</w:t>
            </w:r>
          </w:p>
        </w:tc>
        <w:tc>
          <w:tcPr>
            <w:tcW w:w="895" w:type="dxa"/>
            <w:noWrap/>
            <w:hideMark/>
          </w:tcPr>
          <w:p w14:paraId="55F6D6CF" w14:textId="7655BFB8" w:rsidR="00C62371" w:rsidRPr="00CB4A6B" w:rsidRDefault="0095570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11,14</w:t>
            </w:r>
          </w:p>
        </w:tc>
        <w:tc>
          <w:tcPr>
            <w:tcW w:w="1203" w:type="dxa"/>
            <w:noWrap/>
            <w:hideMark/>
          </w:tcPr>
          <w:p w14:paraId="799B9BC3" w14:textId="26D8E3AF" w:rsidR="00C62371" w:rsidRPr="00CB4A6B" w:rsidRDefault="00584322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0,96</w:t>
            </w:r>
          </w:p>
        </w:tc>
      </w:tr>
      <w:tr w:rsidR="00C62371" w:rsidRPr="005D768B" w14:paraId="1DD1718A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3DBC33A9" w14:textId="77777777" w:rsidR="00C62371" w:rsidRPr="00CB4A6B" w:rsidRDefault="00C62371" w:rsidP="00840534">
            <w:pPr>
              <w:jc w:val="center"/>
              <w:rPr>
                <w:color w:val="000000"/>
              </w:rPr>
            </w:pPr>
            <w:r w:rsidRPr="00CB4A6B">
              <w:rPr>
                <w:color w:val="000000"/>
              </w:rPr>
              <w:t>733</w:t>
            </w:r>
          </w:p>
        </w:tc>
        <w:tc>
          <w:tcPr>
            <w:tcW w:w="2784" w:type="dxa"/>
            <w:noWrap/>
            <w:hideMark/>
          </w:tcPr>
          <w:p w14:paraId="7816A937" w14:textId="77777777" w:rsidR="00C62371" w:rsidRPr="00CB4A6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Donacije</w:t>
            </w:r>
          </w:p>
        </w:tc>
        <w:tc>
          <w:tcPr>
            <w:tcW w:w="1127" w:type="dxa"/>
            <w:noWrap/>
            <w:hideMark/>
          </w:tcPr>
          <w:p w14:paraId="1866A67B" w14:textId="778DE44C" w:rsidR="00C62371" w:rsidRPr="00CB4A6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4A6B">
              <w:rPr>
                <w:b/>
                <w:bCs/>
              </w:rPr>
              <w:t>0,</w:t>
            </w:r>
            <w:r w:rsidR="00CB4A6B">
              <w:rPr>
                <w:b/>
                <w:bCs/>
              </w:rPr>
              <w:t>11</w:t>
            </w:r>
          </w:p>
        </w:tc>
        <w:tc>
          <w:tcPr>
            <w:tcW w:w="893" w:type="dxa"/>
            <w:noWrap/>
            <w:hideMark/>
          </w:tcPr>
          <w:p w14:paraId="350D8E22" w14:textId="2397EC07" w:rsidR="00C62371" w:rsidRPr="00CB4A6B" w:rsidRDefault="00CB4A6B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3,52</w:t>
            </w:r>
          </w:p>
        </w:tc>
        <w:tc>
          <w:tcPr>
            <w:tcW w:w="893" w:type="dxa"/>
            <w:noWrap/>
            <w:hideMark/>
          </w:tcPr>
          <w:p w14:paraId="6EED2D9D" w14:textId="77777777" w:rsidR="00C62371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</w:t>
            </w:r>
            <w:r w:rsidR="000E2E90">
              <w:rPr>
                <w:b/>
                <w:bCs/>
                <w:color w:val="000000"/>
              </w:rPr>
              <w:t>60</w:t>
            </w:r>
          </w:p>
          <w:p w14:paraId="641272D6" w14:textId="27D04F7A" w:rsidR="00FC6601" w:rsidRPr="00CB4A6B" w:rsidRDefault="00FC660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893" w:type="dxa"/>
            <w:noWrap/>
            <w:hideMark/>
          </w:tcPr>
          <w:p w14:paraId="32CC5655" w14:textId="2EF357C9" w:rsidR="00C62371" w:rsidRPr="00CB4A6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3,74</w:t>
            </w:r>
          </w:p>
        </w:tc>
        <w:tc>
          <w:tcPr>
            <w:tcW w:w="895" w:type="dxa"/>
            <w:noWrap/>
            <w:hideMark/>
          </w:tcPr>
          <w:p w14:paraId="6418C581" w14:textId="09AA7816" w:rsidR="00C62371" w:rsidRPr="00CB4A6B" w:rsidRDefault="0095570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3,85</w:t>
            </w:r>
          </w:p>
        </w:tc>
        <w:tc>
          <w:tcPr>
            <w:tcW w:w="1203" w:type="dxa"/>
            <w:noWrap/>
            <w:hideMark/>
          </w:tcPr>
          <w:p w14:paraId="255DE2C5" w14:textId="38929D3D" w:rsidR="00C62371" w:rsidRPr="0095570D" w:rsidRDefault="00584322" w:rsidP="0058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8"/>
                <w:szCs w:val="18"/>
              </w:rPr>
            </w:pPr>
            <w:r w:rsidRPr="0095570D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95570D" w:rsidRPr="0095570D">
              <w:rPr>
                <w:b/>
                <w:bCs/>
                <w:color w:val="000000"/>
                <w:sz w:val="18"/>
                <w:szCs w:val="18"/>
              </w:rPr>
              <w:t>3.200,00</w:t>
            </w:r>
          </w:p>
        </w:tc>
      </w:tr>
      <w:tr w:rsidR="00C62371" w:rsidRPr="005D768B" w14:paraId="55CD7E8A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06FD8A09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740</w:t>
            </w:r>
          </w:p>
        </w:tc>
        <w:tc>
          <w:tcPr>
            <w:tcW w:w="2784" w:type="dxa"/>
            <w:noWrap/>
            <w:hideMark/>
          </w:tcPr>
          <w:p w14:paraId="47A53903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Kapitalni transferi</w:t>
            </w:r>
          </w:p>
        </w:tc>
        <w:tc>
          <w:tcPr>
            <w:tcW w:w="1127" w:type="dxa"/>
            <w:noWrap/>
            <w:hideMark/>
          </w:tcPr>
          <w:p w14:paraId="2888F558" w14:textId="4BF2371D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68B">
              <w:t>0,</w:t>
            </w:r>
            <w:r w:rsidR="00584322">
              <w:t>00</w:t>
            </w:r>
          </w:p>
        </w:tc>
        <w:tc>
          <w:tcPr>
            <w:tcW w:w="893" w:type="dxa"/>
            <w:noWrap/>
            <w:hideMark/>
          </w:tcPr>
          <w:p w14:paraId="2938EEDC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68B">
              <w:t>0,00</w:t>
            </w:r>
          </w:p>
        </w:tc>
        <w:tc>
          <w:tcPr>
            <w:tcW w:w="893" w:type="dxa"/>
            <w:noWrap/>
            <w:hideMark/>
          </w:tcPr>
          <w:p w14:paraId="0830491D" w14:textId="66F2A900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</w:t>
            </w:r>
            <w:r w:rsidR="0095570D">
              <w:rPr>
                <w:color w:val="000000"/>
              </w:rPr>
              <w:t>00</w:t>
            </w:r>
          </w:p>
        </w:tc>
        <w:tc>
          <w:tcPr>
            <w:tcW w:w="893" w:type="dxa"/>
            <w:noWrap/>
            <w:hideMark/>
          </w:tcPr>
          <w:p w14:paraId="3F71932F" w14:textId="4DE924EA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</w:t>
            </w:r>
            <w:r w:rsidR="0095570D">
              <w:rPr>
                <w:color w:val="000000"/>
              </w:rPr>
              <w:t>00</w:t>
            </w:r>
          </w:p>
        </w:tc>
        <w:tc>
          <w:tcPr>
            <w:tcW w:w="895" w:type="dxa"/>
            <w:noWrap/>
            <w:hideMark/>
          </w:tcPr>
          <w:p w14:paraId="03284E04" w14:textId="0EE6AF48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</w:t>
            </w:r>
            <w:r w:rsidR="0095570D">
              <w:rPr>
                <w:color w:val="000000"/>
              </w:rPr>
              <w:t>00</w:t>
            </w:r>
          </w:p>
        </w:tc>
        <w:tc>
          <w:tcPr>
            <w:tcW w:w="1203" w:type="dxa"/>
            <w:noWrap/>
            <w:hideMark/>
          </w:tcPr>
          <w:p w14:paraId="3C459E0F" w14:textId="30C8372D" w:rsidR="00C62371" w:rsidRPr="005D768B" w:rsidRDefault="00584322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2371" w:rsidRPr="005D768B" w14:paraId="518902FD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477C63DA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770</w:t>
            </w:r>
          </w:p>
        </w:tc>
        <w:tc>
          <w:tcPr>
            <w:tcW w:w="2784" w:type="dxa"/>
            <w:noWrap/>
            <w:hideMark/>
          </w:tcPr>
          <w:p w14:paraId="0A0F755F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Ostalo</w:t>
            </w:r>
          </w:p>
        </w:tc>
        <w:tc>
          <w:tcPr>
            <w:tcW w:w="1127" w:type="dxa"/>
            <w:noWrap/>
            <w:hideMark/>
          </w:tcPr>
          <w:p w14:paraId="0E166274" w14:textId="26393A5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0,00</w:t>
            </w:r>
          </w:p>
        </w:tc>
        <w:tc>
          <w:tcPr>
            <w:tcW w:w="893" w:type="dxa"/>
            <w:noWrap/>
            <w:hideMark/>
          </w:tcPr>
          <w:p w14:paraId="0BCBC4AD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0,00</w:t>
            </w:r>
          </w:p>
        </w:tc>
        <w:tc>
          <w:tcPr>
            <w:tcW w:w="893" w:type="dxa"/>
            <w:noWrap/>
            <w:hideMark/>
          </w:tcPr>
          <w:p w14:paraId="2344CDBB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  <w:tc>
          <w:tcPr>
            <w:tcW w:w="893" w:type="dxa"/>
            <w:noWrap/>
            <w:hideMark/>
          </w:tcPr>
          <w:p w14:paraId="21955135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  <w:tc>
          <w:tcPr>
            <w:tcW w:w="895" w:type="dxa"/>
            <w:noWrap/>
            <w:hideMark/>
          </w:tcPr>
          <w:p w14:paraId="785922A9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  <w:tc>
          <w:tcPr>
            <w:tcW w:w="1203" w:type="dxa"/>
            <w:noWrap/>
            <w:hideMark/>
          </w:tcPr>
          <w:p w14:paraId="0E93A762" w14:textId="77777777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</w:tr>
      <w:tr w:rsidR="00C62371" w:rsidRPr="005D768B" w14:paraId="412FDE15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10447A15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 </w:t>
            </w:r>
          </w:p>
        </w:tc>
        <w:tc>
          <w:tcPr>
            <w:tcW w:w="2784" w:type="dxa"/>
            <w:noWrap/>
            <w:hideMark/>
          </w:tcPr>
          <w:p w14:paraId="2E0C26C3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III Financiranje</w:t>
            </w:r>
          </w:p>
        </w:tc>
        <w:tc>
          <w:tcPr>
            <w:tcW w:w="1127" w:type="dxa"/>
            <w:noWrap/>
            <w:hideMark/>
          </w:tcPr>
          <w:p w14:paraId="2337C3FC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D768B">
              <w:rPr>
                <w:b/>
                <w:bCs/>
              </w:rPr>
              <w:t>0</w:t>
            </w:r>
          </w:p>
        </w:tc>
        <w:tc>
          <w:tcPr>
            <w:tcW w:w="893" w:type="dxa"/>
            <w:noWrap/>
            <w:hideMark/>
          </w:tcPr>
          <w:p w14:paraId="2D66566B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D768B">
              <w:rPr>
                <w:b/>
                <w:bCs/>
              </w:rPr>
              <w:t>0</w:t>
            </w:r>
          </w:p>
        </w:tc>
        <w:tc>
          <w:tcPr>
            <w:tcW w:w="893" w:type="dxa"/>
            <w:noWrap/>
            <w:hideMark/>
          </w:tcPr>
          <w:p w14:paraId="4A0DFF5E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noWrap/>
            <w:hideMark/>
          </w:tcPr>
          <w:p w14:paraId="160A9158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2E76886E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3" w:type="dxa"/>
            <w:noWrap/>
            <w:hideMark/>
          </w:tcPr>
          <w:p w14:paraId="145CA4ED" w14:textId="77777777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D768B">
              <w:rPr>
                <w:b/>
                <w:bCs/>
                <w:color w:val="000000"/>
              </w:rPr>
              <w:t>0,00</w:t>
            </w:r>
          </w:p>
        </w:tc>
      </w:tr>
      <w:tr w:rsidR="00C62371" w:rsidRPr="005D768B" w14:paraId="73FBEFEE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64679821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811 - 813</w:t>
            </w:r>
          </w:p>
        </w:tc>
        <w:tc>
          <w:tcPr>
            <w:tcW w:w="2784" w:type="dxa"/>
            <w:noWrap/>
            <w:hideMark/>
          </w:tcPr>
          <w:p w14:paraId="75441548" w14:textId="77777777" w:rsidR="00C62371" w:rsidRPr="005D768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Primici od fin. imovine</w:t>
            </w:r>
          </w:p>
        </w:tc>
        <w:tc>
          <w:tcPr>
            <w:tcW w:w="1127" w:type="dxa"/>
            <w:noWrap/>
            <w:hideMark/>
          </w:tcPr>
          <w:p w14:paraId="4FF16F8E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</w:t>
            </w:r>
          </w:p>
        </w:tc>
        <w:tc>
          <w:tcPr>
            <w:tcW w:w="893" w:type="dxa"/>
            <w:noWrap/>
            <w:hideMark/>
          </w:tcPr>
          <w:p w14:paraId="7C5172EC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68B">
              <w:t>0</w:t>
            </w:r>
          </w:p>
        </w:tc>
        <w:tc>
          <w:tcPr>
            <w:tcW w:w="893" w:type="dxa"/>
            <w:noWrap/>
            <w:hideMark/>
          </w:tcPr>
          <w:p w14:paraId="5BB2CDDB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</w:t>
            </w:r>
          </w:p>
        </w:tc>
        <w:tc>
          <w:tcPr>
            <w:tcW w:w="893" w:type="dxa"/>
            <w:noWrap/>
            <w:hideMark/>
          </w:tcPr>
          <w:p w14:paraId="759029CA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36A0256A" w14:textId="77777777" w:rsidR="00C62371" w:rsidRPr="005D768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  <w:tc>
          <w:tcPr>
            <w:tcW w:w="1203" w:type="dxa"/>
            <w:noWrap/>
            <w:hideMark/>
          </w:tcPr>
          <w:p w14:paraId="38C8373D" w14:textId="77777777" w:rsidR="00C62371" w:rsidRPr="005D768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</w:tr>
      <w:tr w:rsidR="00C62371" w:rsidRPr="005D768B" w14:paraId="372AF126" w14:textId="77777777" w:rsidTr="00F241E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23307653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814,815</w:t>
            </w:r>
          </w:p>
        </w:tc>
        <w:tc>
          <w:tcPr>
            <w:tcW w:w="2784" w:type="dxa"/>
            <w:noWrap/>
            <w:hideMark/>
          </w:tcPr>
          <w:p w14:paraId="1538012E" w14:textId="77777777" w:rsidR="00C62371" w:rsidRPr="005D768B" w:rsidRDefault="00C62371" w:rsidP="00840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Primici od kredita</w:t>
            </w:r>
          </w:p>
        </w:tc>
        <w:tc>
          <w:tcPr>
            <w:tcW w:w="1127" w:type="dxa"/>
            <w:noWrap/>
            <w:hideMark/>
          </w:tcPr>
          <w:p w14:paraId="20920FF0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68B">
              <w:t>0</w:t>
            </w:r>
          </w:p>
        </w:tc>
        <w:tc>
          <w:tcPr>
            <w:tcW w:w="893" w:type="dxa"/>
            <w:noWrap/>
            <w:hideMark/>
          </w:tcPr>
          <w:p w14:paraId="1E7A35F1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768B">
              <w:t>0</w:t>
            </w:r>
          </w:p>
        </w:tc>
        <w:tc>
          <w:tcPr>
            <w:tcW w:w="893" w:type="dxa"/>
            <w:noWrap/>
            <w:hideMark/>
          </w:tcPr>
          <w:p w14:paraId="51742A87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</w:t>
            </w:r>
          </w:p>
        </w:tc>
        <w:tc>
          <w:tcPr>
            <w:tcW w:w="893" w:type="dxa"/>
            <w:noWrap/>
            <w:hideMark/>
          </w:tcPr>
          <w:p w14:paraId="70905DEC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</w:t>
            </w:r>
          </w:p>
        </w:tc>
        <w:tc>
          <w:tcPr>
            <w:tcW w:w="895" w:type="dxa"/>
            <w:noWrap/>
            <w:hideMark/>
          </w:tcPr>
          <w:p w14:paraId="6D70219D" w14:textId="77777777" w:rsidR="00C62371" w:rsidRPr="005D768B" w:rsidRDefault="00C62371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  <w:tc>
          <w:tcPr>
            <w:tcW w:w="1203" w:type="dxa"/>
            <w:noWrap/>
            <w:hideMark/>
          </w:tcPr>
          <w:p w14:paraId="01C6800C" w14:textId="77777777" w:rsidR="00C62371" w:rsidRPr="005D768B" w:rsidRDefault="00C62371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68B">
              <w:rPr>
                <w:color w:val="000000"/>
              </w:rPr>
              <w:t>0,00</w:t>
            </w:r>
          </w:p>
        </w:tc>
      </w:tr>
      <w:tr w:rsidR="00C62371" w:rsidRPr="005D768B" w14:paraId="3A3A2262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  <w:noWrap/>
            <w:hideMark/>
          </w:tcPr>
          <w:p w14:paraId="05721FC5" w14:textId="77777777" w:rsidR="00C62371" w:rsidRPr="005D768B" w:rsidRDefault="00C62371" w:rsidP="00840534">
            <w:pPr>
              <w:jc w:val="center"/>
              <w:rPr>
                <w:color w:val="000000"/>
              </w:rPr>
            </w:pPr>
            <w:r w:rsidRPr="005D768B">
              <w:rPr>
                <w:color w:val="000000"/>
              </w:rPr>
              <w:t>591</w:t>
            </w:r>
          </w:p>
        </w:tc>
        <w:tc>
          <w:tcPr>
            <w:tcW w:w="2784" w:type="dxa"/>
            <w:noWrap/>
            <w:hideMark/>
          </w:tcPr>
          <w:p w14:paraId="06396E56" w14:textId="77777777" w:rsidR="00C62371" w:rsidRPr="00CB4A6B" w:rsidRDefault="00C62371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Neraspoređeni višak prihoda</w:t>
            </w:r>
          </w:p>
        </w:tc>
        <w:tc>
          <w:tcPr>
            <w:tcW w:w="1127" w:type="dxa"/>
            <w:noWrap/>
            <w:hideMark/>
          </w:tcPr>
          <w:p w14:paraId="644A7B55" w14:textId="77777777" w:rsidR="00C62371" w:rsidRPr="00CB4A6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4A6B">
              <w:rPr>
                <w:b/>
                <w:bCs/>
              </w:rPr>
              <w:t>0,00</w:t>
            </w:r>
          </w:p>
        </w:tc>
        <w:tc>
          <w:tcPr>
            <w:tcW w:w="893" w:type="dxa"/>
            <w:noWrap/>
            <w:hideMark/>
          </w:tcPr>
          <w:p w14:paraId="186A5E86" w14:textId="29F0D367" w:rsidR="00C62371" w:rsidRPr="00CB4A6B" w:rsidRDefault="00CB4A6B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B4A6B">
              <w:rPr>
                <w:b/>
                <w:bCs/>
              </w:rPr>
              <w:t>4</w:t>
            </w:r>
            <w:r w:rsidR="00C62371" w:rsidRPr="00CB4A6B">
              <w:rPr>
                <w:b/>
                <w:bCs/>
              </w:rPr>
              <w:t>,00</w:t>
            </w:r>
          </w:p>
        </w:tc>
        <w:tc>
          <w:tcPr>
            <w:tcW w:w="893" w:type="dxa"/>
            <w:noWrap/>
            <w:hideMark/>
          </w:tcPr>
          <w:p w14:paraId="43B8EAB5" w14:textId="77777777" w:rsidR="00C62371" w:rsidRPr="00CB4A6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893" w:type="dxa"/>
            <w:noWrap/>
            <w:hideMark/>
          </w:tcPr>
          <w:p w14:paraId="28110C27" w14:textId="77777777" w:rsidR="00C62371" w:rsidRPr="00CB4A6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895" w:type="dxa"/>
            <w:noWrap/>
            <w:hideMark/>
          </w:tcPr>
          <w:p w14:paraId="310C0B50" w14:textId="77777777" w:rsidR="00C62371" w:rsidRPr="00CB4A6B" w:rsidRDefault="00C62371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03" w:type="dxa"/>
            <w:noWrap/>
            <w:hideMark/>
          </w:tcPr>
          <w:p w14:paraId="361AB90E" w14:textId="77777777" w:rsidR="00C62371" w:rsidRPr="00CB4A6B" w:rsidRDefault="00C62371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CB4A6B">
              <w:rPr>
                <w:b/>
                <w:bCs/>
                <w:color w:val="000000"/>
              </w:rPr>
              <w:t>0,00</w:t>
            </w:r>
          </w:p>
        </w:tc>
      </w:tr>
    </w:tbl>
    <w:p w14:paraId="518100E1" w14:textId="6D0B37F0" w:rsidR="0070430E" w:rsidRPr="00530CD5" w:rsidRDefault="00877702" w:rsidP="00530CD5">
      <w:pPr>
        <w:rPr>
          <w:sz w:val="20"/>
        </w:rPr>
      </w:pPr>
      <w:bookmarkStart w:id="72" w:name="_Toc129414341"/>
      <w:r w:rsidRPr="00877702">
        <w:rPr>
          <w:sz w:val="20"/>
        </w:rPr>
        <w:t>Izvor: Ministarstvo financija HBŽ</w:t>
      </w:r>
      <w:bookmarkStart w:id="73" w:name="_Toc197340780"/>
      <w:bookmarkStart w:id="74" w:name="_Toc190228415"/>
      <w:bookmarkStart w:id="75" w:name="_Toc191048986"/>
    </w:p>
    <w:p w14:paraId="5D0BA069" w14:textId="77777777" w:rsidR="00CF152E" w:rsidRDefault="0040767F" w:rsidP="00CF152E">
      <w:pPr>
        <w:pStyle w:val="Naslov3"/>
      </w:pPr>
      <w:bookmarkStart w:id="76" w:name="_Toc106015342"/>
      <w:bookmarkStart w:id="77" w:name="_Toc232407833"/>
      <w:r>
        <w:t>3.3.1</w:t>
      </w:r>
      <w:r w:rsidR="00CF152E">
        <w:t xml:space="preserve">. </w:t>
      </w:r>
      <w:r w:rsidR="00CF152E" w:rsidRPr="002A404F">
        <w:t>Rizici po projekcije prihoda</w:t>
      </w:r>
      <w:bookmarkEnd w:id="73"/>
      <w:bookmarkEnd w:id="76"/>
      <w:bookmarkEnd w:id="77"/>
    </w:p>
    <w:p w14:paraId="2215D2D5" w14:textId="77777777" w:rsidR="00CF152E" w:rsidRPr="002A404F" w:rsidRDefault="00CF152E" w:rsidP="00CF152E">
      <w:pPr>
        <w:jc w:val="both"/>
        <w:rPr>
          <w:sz w:val="24"/>
          <w:szCs w:val="24"/>
        </w:rPr>
      </w:pPr>
    </w:p>
    <w:p w14:paraId="3A46046E" w14:textId="666A9820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Projekcije prihoda Hercegbosanske županije</w:t>
      </w:r>
      <w:r w:rsidR="00E41DF6" w:rsidRPr="00A315B4">
        <w:rPr>
          <w:sz w:val="24"/>
          <w:szCs w:val="24"/>
        </w:rPr>
        <w:t xml:space="preserve"> za razdoblje 202</w:t>
      </w:r>
      <w:r w:rsidR="005B15F1">
        <w:rPr>
          <w:sz w:val="24"/>
          <w:szCs w:val="24"/>
        </w:rPr>
        <w:t>6</w:t>
      </w:r>
      <w:r w:rsidR="00E41DF6" w:rsidRPr="00A315B4">
        <w:rPr>
          <w:sz w:val="24"/>
          <w:szCs w:val="24"/>
        </w:rPr>
        <w:t>.-202</w:t>
      </w:r>
      <w:r w:rsidR="005B15F1">
        <w:rPr>
          <w:sz w:val="24"/>
          <w:szCs w:val="24"/>
        </w:rPr>
        <w:t>8</w:t>
      </w:r>
      <w:r w:rsidR="00DD14BB" w:rsidRPr="00A315B4">
        <w:rPr>
          <w:sz w:val="24"/>
          <w:szCs w:val="24"/>
        </w:rPr>
        <w:t>. godine</w:t>
      </w:r>
      <w:r w:rsidRPr="00A315B4">
        <w:rPr>
          <w:sz w:val="24"/>
          <w:szCs w:val="24"/>
        </w:rPr>
        <w:t xml:space="preserve"> rađene su na osnovu smjernica dostavljenih kroz srednjoročnu fiskalnu strategiju i projekcije prihoda od strane Federalnog ministarstva financija.</w:t>
      </w:r>
    </w:p>
    <w:p w14:paraId="2B24BBA4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6042C8B8" w14:textId="77777777" w:rsidR="0095570D" w:rsidRPr="0095570D" w:rsidRDefault="0095570D" w:rsidP="0095570D">
      <w:pPr>
        <w:spacing w:after="200" w:line="276" w:lineRule="auto"/>
        <w:ind w:firstLine="708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95570D">
        <w:rPr>
          <w:rFonts w:eastAsiaTheme="minorEastAsia" w:cstheme="minorBidi"/>
          <w:sz w:val="24"/>
          <w:szCs w:val="22"/>
          <w:lang w:eastAsia="hr-HR"/>
        </w:rPr>
        <w:t>Srednjoročne projekcije javnih prihoda u Federaciji BiH prate makroekonomska očekivanja u kretanju onih agregata sa kojim su u značajnijoj korelaciji. Obzirom na visok nivo nepredvidljivosti krajnjeg ishoda ekonomskih tokova, moguće su i značajnije promjene u realizaciji projekcija javnih prihoda.</w:t>
      </w:r>
    </w:p>
    <w:p w14:paraId="7D1B2397" w14:textId="77777777" w:rsidR="0095570D" w:rsidRPr="0095570D" w:rsidRDefault="0095570D" w:rsidP="0095570D">
      <w:pPr>
        <w:spacing w:after="200" w:line="276" w:lineRule="auto"/>
        <w:jc w:val="both"/>
        <w:rPr>
          <w:rFonts w:eastAsiaTheme="minorEastAsia" w:cstheme="minorBidi"/>
          <w:sz w:val="24"/>
          <w:szCs w:val="22"/>
          <w:lang w:eastAsia="hr-HR"/>
        </w:rPr>
      </w:pPr>
      <w:r w:rsidRPr="0095570D">
        <w:rPr>
          <w:rFonts w:eastAsiaTheme="minorEastAsia" w:cstheme="minorBidi"/>
          <w:sz w:val="24"/>
          <w:szCs w:val="22"/>
          <w:lang w:eastAsia="hr-HR"/>
        </w:rPr>
        <w:tab/>
        <w:t xml:space="preserve">Projekcije poreznih prihoda i obaveznih socijalnih doprinosa temelje se na trenutno važećim politikama, procjenom kretanju radne snage, rastu plaće i migracijskim politikama. Potencijalna implementacija novih mjera u cilju poboljšanja financijskog položaja pojedinaca u narednom srednjoročnom periodu, u značajnoj mjeri može imati odraz i na projicirani nivo naplate. </w:t>
      </w:r>
    </w:p>
    <w:p w14:paraId="05AA2A80" w14:textId="77777777" w:rsidR="007F52AA" w:rsidRPr="00A315B4" w:rsidRDefault="007F52AA" w:rsidP="007F52AA">
      <w:pPr>
        <w:ind w:firstLine="708"/>
        <w:jc w:val="both"/>
        <w:rPr>
          <w:sz w:val="24"/>
          <w:szCs w:val="24"/>
        </w:rPr>
      </w:pPr>
    </w:p>
    <w:p w14:paraId="6C2D1E47" w14:textId="1B79C26C" w:rsidR="007F52AA" w:rsidRPr="00A315B4" w:rsidRDefault="007F52AA" w:rsidP="007F52AA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ab/>
      </w:r>
    </w:p>
    <w:p w14:paraId="19EF8953" w14:textId="77777777" w:rsidR="007F52AA" w:rsidRPr="00A315B4" w:rsidRDefault="007F52AA" w:rsidP="007F52AA">
      <w:pPr>
        <w:jc w:val="both"/>
        <w:rPr>
          <w:sz w:val="24"/>
          <w:szCs w:val="24"/>
        </w:rPr>
      </w:pPr>
    </w:p>
    <w:p w14:paraId="1573EEA0" w14:textId="62C2256C" w:rsidR="007F52AA" w:rsidRPr="00A315B4" w:rsidRDefault="007F52AA" w:rsidP="007F52AA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ab/>
      </w:r>
      <w:r w:rsidR="009B5E1D" w:rsidRPr="00A315B4">
        <w:rPr>
          <w:sz w:val="24"/>
          <w:szCs w:val="24"/>
        </w:rPr>
        <w:t>Projekcije prihoda od poreza na dobit za 202</w:t>
      </w:r>
      <w:r w:rsidR="0095570D">
        <w:rPr>
          <w:sz w:val="24"/>
          <w:szCs w:val="24"/>
        </w:rPr>
        <w:t>6</w:t>
      </w:r>
      <w:r w:rsidR="009B5E1D" w:rsidRPr="00A315B4">
        <w:rPr>
          <w:sz w:val="24"/>
          <w:szCs w:val="24"/>
        </w:rPr>
        <w:t>. godinu bazirane su na povijesnom i tekućem (Q1 202</w:t>
      </w:r>
      <w:r w:rsidR="0095570D">
        <w:rPr>
          <w:sz w:val="24"/>
          <w:szCs w:val="24"/>
        </w:rPr>
        <w:t>6</w:t>
      </w:r>
      <w:r w:rsidR="009B5E1D" w:rsidRPr="00A315B4">
        <w:rPr>
          <w:sz w:val="24"/>
          <w:szCs w:val="24"/>
        </w:rPr>
        <w:t>) trendu naplate uz procijenjena očekivanja do kraja godine. No uzimajući u obzir visok nivo nepredvidivosti, stope rasta u razdoblju 202</w:t>
      </w:r>
      <w:r w:rsidR="0095570D">
        <w:rPr>
          <w:sz w:val="24"/>
          <w:szCs w:val="24"/>
        </w:rPr>
        <w:t>7</w:t>
      </w:r>
      <w:r w:rsidR="009B5E1D" w:rsidRPr="00A315B4">
        <w:rPr>
          <w:sz w:val="24"/>
          <w:szCs w:val="24"/>
        </w:rPr>
        <w:t>.-202</w:t>
      </w:r>
      <w:r w:rsidR="0095570D">
        <w:rPr>
          <w:sz w:val="24"/>
          <w:szCs w:val="24"/>
        </w:rPr>
        <w:t>9</w:t>
      </w:r>
      <w:r w:rsidR="009B5E1D" w:rsidRPr="00A315B4">
        <w:rPr>
          <w:sz w:val="24"/>
          <w:szCs w:val="24"/>
        </w:rPr>
        <w:t>. godina oprezno predviđaju prosječan godišnji rast.</w:t>
      </w:r>
    </w:p>
    <w:p w14:paraId="1B962FD1" w14:textId="77777777" w:rsidR="009B5E1D" w:rsidRPr="00A315B4" w:rsidRDefault="009B5E1D" w:rsidP="007F52AA">
      <w:pPr>
        <w:jc w:val="both"/>
        <w:rPr>
          <w:sz w:val="24"/>
          <w:szCs w:val="24"/>
        </w:rPr>
      </w:pPr>
    </w:p>
    <w:p w14:paraId="1FBA9EF8" w14:textId="4D227B92" w:rsidR="007F52AA" w:rsidRPr="00A315B4" w:rsidRDefault="009B5E1D" w:rsidP="007F52AA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ab/>
      </w:r>
    </w:p>
    <w:p w14:paraId="55714EA8" w14:textId="77777777" w:rsidR="009B5E1D" w:rsidRPr="00A315B4" w:rsidRDefault="007F52AA" w:rsidP="009B5E1D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ab/>
      </w:r>
      <w:r w:rsidR="009B5E1D" w:rsidRPr="00A315B4">
        <w:rPr>
          <w:sz w:val="24"/>
          <w:szCs w:val="24"/>
        </w:rPr>
        <w:t>Srednjoročne projekcije javnih prihoda u Federaciji BiH prate makroekonomska očekivanja u kretanju onih agregata sa kojim su u značajnoj korelaciji. Kod nekih stavki, u cilju očuvanja fiskalne discipline, već unutar osnovnog scenarija uključeni su i procijenjeni efekti pojedinih visokih rizika po ostvarenju makroekonomskih prognoza. Obzirom na krajnju nepredvidivost mogućih budućih šokova, posebno kada je riječ o ubrzanom ratu inflacije, moguće su značajne promjene u krajnjem ishodu makroekonomskih pretpostavki, pa tako i projekcija javnih prihoda.</w:t>
      </w:r>
    </w:p>
    <w:p w14:paraId="76E37691" w14:textId="77777777" w:rsidR="009B5E1D" w:rsidRPr="00A315B4" w:rsidRDefault="009B5E1D" w:rsidP="009B5E1D">
      <w:pPr>
        <w:jc w:val="both"/>
        <w:rPr>
          <w:sz w:val="24"/>
          <w:szCs w:val="24"/>
        </w:rPr>
      </w:pPr>
    </w:p>
    <w:p w14:paraId="0F489C54" w14:textId="77777777" w:rsidR="007F52AA" w:rsidRPr="00A315B4" w:rsidRDefault="009B5E1D" w:rsidP="009B5E1D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ab/>
        <w:t>Pored navedenog, na drugačiji ishod u naplati javnih prihoda mogu u značajnoj mjeri utjecati: neplanirane izmjene poreznih politika, značajna odstupanja u kretanju koeficijenta raspodjele prihoda od indirektnih poreza između entiteta u odnosu na trenutno procijenjeni. Promjene u nivou planirane otplate vanjskog duga, promjene u izdvajanju prihoda od indirektnih poreza za Institucije BIH, rad porezne administracije, te razvoj drugih događaja poput novih elementarnih nepogoda</w:t>
      </w:r>
    </w:p>
    <w:p w14:paraId="6FA1FB89" w14:textId="77777777" w:rsidR="00CF152E" w:rsidRPr="00A315B4" w:rsidRDefault="00CF152E" w:rsidP="009B5E1D">
      <w:pPr>
        <w:jc w:val="both"/>
        <w:rPr>
          <w:sz w:val="24"/>
          <w:szCs w:val="24"/>
        </w:rPr>
      </w:pPr>
    </w:p>
    <w:p w14:paraId="343B9960" w14:textId="77777777" w:rsidR="00CF152E" w:rsidRPr="009B5E1D" w:rsidRDefault="00CF152E" w:rsidP="0066402D">
      <w:pPr>
        <w:ind w:firstLine="708"/>
        <w:jc w:val="both"/>
        <w:rPr>
          <w:color w:val="FF0000"/>
          <w:sz w:val="24"/>
          <w:szCs w:val="24"/>
        </w:rPr>
      </w:pPr>
      <w:r w:rsidRPr="00A315B4">
        <w:rPr>
          <w:sz w:val="24"/>
          <w:szCs w:val="24"/>
        </w:rPr>
        <w:t>Također treba istaknuti visoku razinu za projicirane primljene tekuće transfere od ostalih razina vlasti zbog ublažavanja negativnih ekonomskih posljedica pandemije korona virusa ( sredstva MMF-a, Europske banke i druge potpore viših razina vlasti). Naplata prihoda od neizravnih poreza ovisit će i od kvalitetne koordinacije svih korisnika, institucija Bosne i Hercegovine, entiteta i Brčko Distrikta, s jedne strane i svih korisnika prihoda od neizravnih poreza unutar Federacije BiH, s druge strane, a s naglaskom na nastavak prilagođavanja koeficijenata za raspodjelu ove vrste prihoda.</w:t>
      </w:r>
    </w:p>
    <w:p w14:paraId="28EEA891" w14:textId="77777777" w:rsidR="0040767F" w:rsidRDefault="0040767F" w:rsidP="00CF152E">
      <w:pPr>
        <w:jc w:val="both"/>
        <w:rPr>
          <w:sz w:val="24"/>
          <w:szCs w:val="24"/>
        </w:rPr>
      </w:pPr>
    </w:p>
    <w:p w14:paraId="6AB3B29A" w14:textId="77777777" w:rsidR="0095570D" w:rsidRDefault="0095570D" w:rsidP="00CF152E">
      <w:pPr>
        <w:jc w:val="both"/>
        <w:rPr>
          <w:sz w:val="24"/>
          <w:szCs w:val="24"/>
        </w:rPr>
      </w:pPr>
    </w:p>
    <w:p w14:paraId="11087098" w14:textId="77777777" w:rsidR="0095570D" w:rsidRDefault="0095570D" w:rsidP="00CF152E">
      <w:pPr>
        <w:jc w:val="both"/>
        <w:rPr>
          <w:sz w:val="24"/>
          <w:szCs w:val="24"/>
        </w:rPr>
      </w:pPr>
    </w:p>
    <w:p w14:paraId="1C45CF16" w14:textId="77777777" w:rsidR="0095570D" w:rsidRDefault="0095570D" w:rsidP="00CF152E">
      <w:pPr>
        <w:jc w:val="both"/>
        <w:rPr>
          <w:sz w:val="24"/>
          <w:szCs w:val="24"/>
        </w:rPr>
      </w:pPr>
    </w:p>
    <w:p w14:paraId="53B00768" w14:textId="77777777" w:rsidR="0095570D" w:rsidRDefault="0095570D" w:rsidP="00CF152E">
      <w:pPr>
        <w:jc w:val="both"/>
        <w:rPr>
          <w:sz w:val="24"/>
          <w:szCs w:val="24"/>
        </w:rPr>
      </w:pPr>
    </w:p>
    <w:p w14:paraId="217B0A60" w14:textId="77777777" w:rsidR="0095570D" w:rsidRDefault="0095570D" w:rsidP="00CF152E">
      <w:pPr>
        <w:jc w:val="both"/>
        <w:rPr>
          <w:sz w:val="24"/>
          <w:szCs w:val="24"/>
        </w:rPr>
      </w:pPr>
    </w:p>
    <w:p w14:paraId="0BD0CACC" w14:textId="77777777" w:rsidR="0095570D" w:rsidRDefault="0095570D" w:rsidP="00CF152E">
      <w:pPr>
        <w:jc w:val="both"/>
        <w:rPr>
          <w:sz w:val="24"/>
          <w:szCs w:val="24"/>
        </w:rPr>
      </w:pPr>
    </w:p>
    <w:p w14:paraId="72427D7B" w14:textId="77777777" w:rsidR="0095570D" w:rsidRDefault="0095570D" w:rsidP="00CF152E">
      <w:pPr>
        <w:jc w:val="both"/>
        <w:rPr>
          <w:sz w:val="24"/>
          <w:szCs w:val="24"/>
        </w:rPr>
      </w:pPr>
    </w:p>
    <w:p w14:paraId="5D5F4BBB" w14:textId="77777777" w:rsidR="0095570D" w:rsidRDefault="0095570D" w:rsidP="00CF152E">
      <w:pPr>
        <w:jc w:val="both"/>
        <w:rPr>
          <w:sz w:val="24"/>
          <w:szCs w:val="24"/>
        </w:rPr>
      </w:pPr>
    </w:p>
    <w:p w14:paraId="070703CE" w14:textId="77777777" w:rsidR="0095570D" w:rsidRDefault="0095570D" w:rsidP="00CF152E">
      <w:pPr>
        <w:jc w:val="both"/>
        <w:rPr>
          <w:sz w:val="24"/>
          <w:szCs w:val="24"/>
        </w:rPr>
      </w:pPr>
    </w:p>
    <w:p w14:paraId="0D520FBF" w14:textId="77777777" w:rsidR="0095570D" w:rsidRDefault="0095570D" w:rsidP="00CF152E">
      <w:pPr>
        <w:jc w:val="both"/>
        <w:rPr>
          <w:sz w:val="24"/>
          <w:szCs w:val="24"/>
        </w:rPr>
      </w:pPr>
    </w:p>
    <w:p w14:paraId="3EF3169E" w14:textId="77777777" w:rsidR="0095570D" w:rsidRDefault="0095570D" w:rsidP="00CF152E">
      <w:pPr>
        <w:jc w:val="both"/>
        <w:rPr>
          <w:sz w:val="24"/>
          <w:szCs w:val="24"/>
        </w:rPr>
      </w:pPr>
    </w:p>
    <w:p w14:paraId="5BCAA97B" w14:textId="77777777" w:rsidR="0095570D" w:rsidRDefault="0095570D" w:rsidP="00CF152E">
      <w:pPr>
        <w:jc w:val="both"/>
        <w:rPr>
          <w:sz w:val="24"/>
          <w:szCs w:val="24"/>
        </w:rPr>
      </w:pPr>
    </w:p>
    <w:p w14:paraId="5752CD3E" w14:textId="77777777" w:rsidR="0095570D" w:rsidRDefault="0095570D" w:rsidP="00CF152E">
      <w:pPr>
        <w:jc w:val="both"/>
        <w:rPr>
          <w:sz w:val="24"/>
          <w:szCs w:val="24"/>
        </w:rPr>
      </w:pPr>
    </w:p>
    <w:p w14:paraId="2426D4BB" w14:textId="77777777" w:rsidR="0095570D" w:rsidRDefault="0095570D" w:rsidP="00CF152E">
      <w:pPr>
        <w:jc w:val="both"/>
        <w:rPr>
          <w:sz w:val="24"/>
          <w:szCs w:val="24"/>
        </w:rPr>
      </w:pPr>
    </w:p>
    <w:p w14:paraId="325C1BFE" w14:textId="77777777" w:rsidR="0095570D" w:rsidRDefault="0095570D" w:rsidP="00CF152E">
      <w:pPr>
        <w:jc w:val="both"/>
        <w:rPr>
          <w:sz w:val="24"/>
          <w:szCs w:val="24"/>
        </w:rPr>
      </w:pPr>
    </w:p>
    <w:p w14:paraId="693FF7F3" w14:textId="77777777" w:rsidR="0095570D" w:rsidRDefault="0095570D" w:rsidP="00CF152E">
      <w:pPr>
        <w:jc w:val="both"/>
        <w:rPr>
          <w:sz w:val="24"/>
          <w:szCs w:val="24"/>
        </w:rPr>
      </w:pPr>
    </w:p>
    <w:p w14:paraId="6E147929" w14:textId="77777777" w:rsidR="0095570D" w:rsidRDefault="0095570D" w:rsidP="00CF152E">
      <w:pPr>
        <w:jc w:val="both"/>
        <w:rPr>
          <w:sz w:val="24"/>
          <w:szCs w:val="24"/>
        </w:rPr>
      </w:pPr>
    </w:p>
    <w:p w14:paraId="66C59685" w14:textId="77777777" w:rsidR="001B3788" w:rsidRPr="0040767F" w:rsidRDefault="0040767F" w:rsidP="0040767F">
      <w:pPr>
        <w:pStyle w:val="Naslov2"/>
      </w:pPr>
      <w:bookmarkStart w:id="78" w:name="_Toc232407834"/>
      <w:r w:rsidRPr="0040767F">
        <w:lastRenderedPageBreak/>
        <w:t>3.4.</w:t>
      </w:r>
      <w:r w:rsidR="00D50256">
        <w:t xml:space="preserve"> </w:t>
      </w:r>
      <w:r w:rsidR="001B3788" w:rsidRPr="0040767F">
        <w:t>Ukupni rashodi Hercegbosanske županije</w:t>
      </w:r>
      <w:bookmarkEnd w:id="78"/>
    </w:p>
    <w:p w14:paraId="452C4FF9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5004CD43" w14:textId="7E5E9C0F" w:rsidR="00CF152E" w:rsidRDefault="00877702" w:rsidP="00877702">
      <w:pPr>
        <w:pStyle w:val="Opisslike"/>
      </w:pPr>
      <w:bookmarkStart w:id="79" w:name="_Toc232407854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6</w:t>
      </w:r>
      <w:r w:rsidR="00D82381">
        <w:fldChar w:fldCharType="end"/>
      </w:r>
      <w:r>
        <w:t>. Rashodi Hercegbosa</w:t>
      </w:r>
      <w:r w:rsidR="009B5E1D">
        <w:t>nske županije za razdoblje 202</w:t>
      </w:r>
      <w:r w:rsidR="00903E8A">
        <w:t>7</w:t>
      </w:r>
      <w:r w:rsidR="009B5E1D">
        <w:t>.-202</w:t>
      </w:r>
      <w:r w:rsidR="00903E8A">
        <w:t>9</w:t>
      </w:r>
      <w:r>
        <w:t>. godine u mil. KM</w:t>
      </w:r>
      <w:bookmarkEnd w:id="79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3337"/>
        <w:gridCol w:w="1110"/>
        <w:gridCol w:w="1135"/>
        <w:gridCol w:w="983"/>
        <w:gridCol w:w="983"/>
        <w:gridCol w:w="983"/>
        <w:gridCol w:w="1392"/>
      </w:tblGrid>
      <w:tr w:rsidR="009B5E1D" w:rsidRPr="00FD3037" w14:paraId="153DC39E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634359F5" w14:textId="77777777" w:rsidR="009B5E1D" w:rsidRPr="00FD3037" w:rsidRDefault="009B5E1D" w:rsidP="00840534">
            <w:pPr>
              <w:jc w:val="center"/>
              <w:rPr>
                <w:color w:val="000000"/>
              </w:rPr>
            </w:pPr>
            <w:r w:rsidRPr="00FD3037">
              <w:rPr>
                <w:color w:val="000000"/>
              </w:rPr>
              <w:t>Vrsta rashoda</w:t>
            </w:r>
          </w:p>
        </w:tc>
        <w:tc>
          <w:tcPr>
            <w:tcW w:w="1084" w:type="dxa"/>
            <w:noWrap/>
            <w:hideMark/>
          </w:tcPr>
          <w:p w14:paraId="29DEE4F2" w14:textId="77777777" w:rsidR="009B5E1D" w:rsidRPr="00FD3037" w:rsidRDefault="009B5E1D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Izvršenje</w:t>
            </w:r>
          </w:p>
        </w:tc>
        <w:tc>
          <w:tcPr>
            <w:tcW w:w="1109" w:type="dxa"/>
            <w:noWrap/>
            <w:hideMark/>
          </w:tcPr>
          <w:p w14:paraId="6701E2B1" w14:textId="77777777" w:rsidR="009B5E1D" w:rsidRPr="00FD3037" w:rsidRDefault="009B5E1D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Proračun</w:t>
            </w:r>
          </w:p>
        </w:tc>
        <w:tc>
          <w:tcPr>
            <w:tcW w:w="2880" w:type="dxa"/>
            <w:gridSpan w:val="3"/>
            <w:noWrap/>
            <w:hideMark/>
          </w:tcPr>
          <w:p w14:paraId="4E6284C7" w14:textId="77777777" w:rsidR="009B5E1D" w:rsidRPr="00FD3037" w:rsidRDefault="009B5E1D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Prognoza</w:t>
            </w:r>
          </w:p>
        </w:tc>
        <w:tc>
          <w:tcPr>
            <w:tcW w:w="1360" w:type="dxa"/>
            <w:vMerge w:val="restart"/>
            <w:hideMark/>
          </w:tcPr>
          <w:p w14:paraId="348CB663" w14:textId="690564B5" w:rsidR="009B5E1D" w:rsidRPr="00FD3037" w:rsidRDefault="009B5E1D" w:rsidP="00840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Index  202</w:t>
            </w:r>
            <w:r w:rsidR="00B0611F">
              <w:rPr>
                <w:color w:val="000000"/>
              </w:rPr>
              <w:t>6</w:t>
            </w:r>
            <w:r w:rsidRPr="00FD3037">
              <w:rPr>
                <w:color w:val="000000"/>
              </w:rPr>
              <w:t>/202</w:t>
            </w:r>
            <w:r w:rsidR="00B0611F">
              <w:rPr>
                <w:color w:val="000000"/>
              </w:rPr>
              <w:t>5</w:t>
            </w:r>
          </w:p>
        </w:tc>
      </w:tr>
      <w:tr w:rsidR="009B5E1D" w:rsidRPr="00FD3037" w14:paraId="45393161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7D863B18" w14:textId="77777777" w:rsidR="009B5E1D" w:rsidRPr="00FD3037" w:rsidRDefault="009B5E1D" w:rsidP="00840534">
            <w:pPr>
              <w:jc w:val="center"/>
              <w:rPr>
                <w:color w:val="000000"/>
              </w:rPr>
            </w:pPr>
            <w:r w:rsidRPr="00FD3037">
              <w:rPr>
                <w:color w:val="000000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2195F87D" w14:textId="7F5528E8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202</w:t>
            </w:r>
            <w:r w:rsidR="00903E8A">
              <w:rPr>
                <w:b/>
                <w:bCs/>
                <w:color w:val="000000"/>
              </w:rPr>
              <w:t>5</w:t>
            </w:r>
            <w:r w:rsidRPr="00FD3037">
              <w:rPr>
                <w:b/>
                <w:bCs/>
                <w:color w:val="000000"/>
              </w:rPr>
              <w:t>.</w:t>
            </w:r>
          </w:p>
        </w:tc>
        <w:tc>
          <w:tcPr>
            <w:tcW w:w="1109" w:type="dxa"/>
            <w:noWrap/>
            <w:hideMark/>
          </w:tcPr>
          <w:p w14:paraId="116A9520" w14:textId="444373CB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202</w:t>
            </w:r>
            <w:r w:rsidR="00903E8A">
              <w:rPr>
                <w:b/>
                <w:bCs/>
                <w:color w:val="000000"/>
              </w:rPr>
              <w:t>6</w:t>
            </w:r>
            <w:r w:rsidRPr="00FD3037">
              <w:rPr>
                <w:b/>
                <w:bCs/>
                <w:color w:val="00000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40E7AB91" w14:textId="164966E7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202</w:t>
            </w:r>
            <w:r w:rsidR="00903E8A">
              <w:rPr>
                <w:b/>
                <w:bCs/>
                <w:color w:val="000000"/>
              </w:rPr>
              <w:t>7</w:t>
            </w:r>
            <w:r w:rsidRPr="00FD3037">
              <w:rPr>
                <w:b/>
                <w:bCs/>
                <w:color w:val="00000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12ADA355" w14:textId="4A054597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202</w:t>
            </w:r>
            <w:r w:rsidR="00903E8A">
              <w:rPr>
                <w:b/>
                <w:bCs/>
                <w:color w:val="000000"/>
              </w:rPr>
              <w:t>8</w:t>
            </w:r>
            <w:r w:rsidRPr="00FD3037">
              <w:rPr>
                <w:b/>
                <w:bCs/>
                <w:color w:val="00000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2A5FBC90" w14:textId="371B8A45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202</w:t>
            </w:r>
            <w:r w:rsidR="00903E8A">
              <w:rPr>
                <w:b/>
                <w:bCs/>
                <w:color w:val="000000"/>
              </w:rPr>
              <w:t>9</w:t>
            </w:r>
            <w:r w:rsidRPr="00FD3037">
              <w:rPr>
                <w:b/>
                <w:bCs/>
                <w:color w:val="000000"/>
              </w:rPr>
              <w:t>.</w:t>
            </w:r>
          </w:p>
        </w:tc>
        <w:tc>
          <w:tcPr>
            <w:tcW w:w="1360" w:type="dxa"/>
            <w:vMerge/>
            <w:hideMark/>
          </w:tcPr>
          <w:p w14:paraId="35D19B22" w14:textId="77777777" w:rsidR="009B5E1D" w:rsidRPr="00FD3037" w:rsidRDefault="009B5E1D" w:rsidP="00840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9B5E1D" w:rsidRPr="00FD3037" w14:paraId="4A85B4F9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3E2841C3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>UKUPNI RASHODI</w:t>
            </w:r>
          </w:p>
        </w:tc>
        <w:tc>
          <w:tcPr>
            <w:tcW w:w="1084" w:type="dxa"/>
            <w:noWrap/>
            <w:hideMark/>
          </w:tcPr>
          <w:p w14:paraId="296FA26B" w14:textId="72551681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29,34</w:t>
            </w:r>
          </w:p>
        </w:tc>
        <w:tc>
          <w:tcPr>
            <w:tcW w:w="1109" w:type="dxa"/>
            <w:noWrap/>
            <w:hideMark/>
          </w:tcPr>
          <w:p w14:paraId="3AB6AEC6" w14:textId="3E50848C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55,36</w:t>
            </w:r>
          </w:p>
        </w:tc>
        <w:tc>
          <w:tcPr>
            <w:tcW w:w="960" w:type="dxa"/>
            <w:noWrap/>
            <w:hideMark/>
          </w:tcPr>
          <w:p w14:paraId="0D5BBBD9" w14:textId="23CE26B2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60,</w:t>
            </w:r>
            <w:r w:rsidR="000E2E90">
              <w:rPr>
                <w:b/>
                <w:bCs/>
                <w:color w:val="000000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1342261D" w14:textId="2A039496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1</w:t>
            </w:r>
            <w:r w:rsidR="00903E8A">
              <w:rPr>
                <w:b/>
                <w:bCs/>
              </w:rPr>
              <w:t>67,79</w:t>
            </w:r>
          </w:p>
        </w:tc>
        <w:tc>
          <w:tcPr>
            <w:tcW w:w="960" w:type="dxa"/>
            <w:noWrap/>
            <w:hideMark/>
          </w:tcPr>
          <w:p w14:paraId="6BBCD570" w14:textId="538E353F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1</w:t>
            </w:r>
            <w:r w:rsidR="00903E8A">
              <w:rPr>
                <w:b/>
                <w:bCs/>
              </w:rPr>
              <w:t>76,39</w:t>
            </w:r>
          </w:p>
        </w:tc>
        <w:tc>
          <w:tcPr>
            <w:tcW w:w="1360" w:type="dxa"/>
            <w:noWrap/>
            <w:hideMark/>
          </w:tcPr>
          <w:p w14:paraId="46551EA7" w14:textId="3F79E764" w:rsidR="009B5E1D" w:rsidRPr="00FD3037" w:rsidRDefault="009B5E1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20,12</w:t>
            </w:r>
          </w:p>
        </w:tc>
      </w:tr>
      <w:tr w:rsidR="009B5E1D" w:rsidRPr="00FD3037" w14:paraId="26C6A853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067C992A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>I. TEKUĆA PRIČUVA</w:t>
            </w:r>
          </w:p>
        </w:tc>
        <w:tc>
          <w:tcPr>
            <w:tcW w:w="1084" w:type="dxa"/>
            <w:noWrap/>
            <w:hideMark/>
          </w:tcPr>
          <w:p w14:paraId="750C9887" w14:textId="51CD9E8E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0,</w:t>
            </w:r>
            <w:r w:rsidR="00903E8A">
              <w:rPr>
                <w:b/>
                <w:bCs/>
                <w:color w:val="000000"/>
              </w:rPr>
              <w:t>60</w:t>
            </w:r>
          </w:p>
        </w:tc>
        <w:tc>
          <w:tcPr>
            <w:tcW w:w="1109" w:type="dxa"/>
            <w:noWrap/>
            <w:hideMark/>
          </w:tcPr>
          <w:p w14:paraId="7F445CB0" w14:textId="7777777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7CA4D0A2" w14:textId="7777777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59E4CB10" w14:textId="7777777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0,60</w:t>
            </w:r>
          </w:p>
        </w:tc>
        <w:tc>
          <w:tcPr>
            <w:tcW w:w="960" w:type="dxa"/>
            <w:noWrap/>
            <w:hideMark/>
          </w:tcPr>
          <w:p w14:paraId="394F1A87" w14:textId="7777777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0,60</w:t>
            </w:r>
          </w:p>
        </w:tc>
        <w:tc>
          <w:tcPr>
            <w:tcW w:w="1360" w:type="dxa"/>
            <w:noWrap/>
            <w:hideMark/>
          </w:tcPr>
          <w:p w14:paraId="2AB96E3B" w14:textId="77777777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100,00</w:t>
            </w:r>
          </w:p>
        </w:tc>
      </w:tr>
      <w:tr w:rsidR="009B5E1D" w:rsidRPr="00FD3037" w14:paraId="6487989E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2E34384B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>II. TEKUĆI IZDATCI</w:t>
            </w:r>
          </w:p>
        </w:tc>
        <w:tc>
          <w:tcPr>
            <w:tcW w:w="1084" w:type="dxa"/>
            <w:noWrap/>
            <w:hideMark/>
          </w:tcPr>
          <w:p w14:paraId="24605B4E" w14:textId="061E022E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24,20</w:t>
            </w:r>
          </w:p>
        </w:tc>
        <w:tc>
          <w:tcPr>
            <w:tcW w:w="1109" w:type="dxa"/>
            <w:noWrap/>
            <w:hideMark/>
          </w:tcPr>
          <w:p w14:paraId="1F9B92CF" w14:textId="4E906838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42,09</w:t>
            </w:r>
          </w:p>
        </w:tc>
        <w:tc>
          <w:tcPr>
            <w:tcW w:w="960" w:type="dxa"/>
            <w:noWrap/>
            <w:hideMark/>
          </w:tcPr>
          <w:p w14:paraId="2E5BD003" w14:textId="157D8AAD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4</w:t>
            </w:r>
            <w:r w:rsidR="00B204A1">
              <w:rPr>
                <w:b/>
                <w:bCs/>
                <w:color w:val="000000"/>
              </w:rPr>
              <w:t>7,00</w:t>
            </w:r>
          </w:p>
        </w:tc>
        <w:tc>
          <w:tcPr>
            <w:tcW w:w="960" w:type="dxa"/>
            <w:noWrap/>
            <w:hideMark/>
          </w:tcPr>
          <w:p w14:paraId="1347E181" w14:textId="27673DCE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1</w:t>
            </w:r>
            <w:r w:rsidR="00903E8A">
              <w:rPr>
                <w:b/>
                <w:bCs/>
              </w:rPr>
              <w:t>52,89</w:t>
            </w:r>
          </w:p>
        </w:tc>
        <w:tc>
          <w:tcPr>
            <w:tcW w:w="960" w:type="dxa"/>
            <w:noWrap/>
            <w:hideMark/>
          </w:tcPr>
          <w:p w14:paraId="47A2C03E" w14:textId="24D16A4A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1</w:t>
            </w:r>
            <w:r w:rsidR="00903E8A">
              <w:rPr>
                <w:b/>
                <w:bCs/>
              </w:rPr>
              <w:t>60,09</w:t>
            </w:r>
          </w:p>
        </w:tc>
        <w:tc>
          <w:tcPr>
            <w:tcW w:w="1360" w:type="dxa"/>
            <w:noWrap/>
            <w:hideMark/>
          </w:tcPr>
          <w:p w14:paraId="49B5F512" w14:textId="0EAA2AB4" w:rsidR="009B5E1D" w:rsidRPr="00FD3037" w:rsidRDefault="009B5E1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</w:t>
            </w:r>
            <w:r w:rsidR="00903E8A">
              <w:rPr>
                <w:b/>
                <w:bCs/>
                <w:color w:val="000000"/>
              </w:rPr>
              <w:t>14,40</w:t>
            </w:r>
          </w:p>
        </w:tc>
      </w:tr>
      <w:tr w:rsidR="009B5E1D" w:rsidRPr="00FD3037" w14:paraId="32BC2C41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0F6C083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1.Bruto plaće</w:t>
            </w:r>
          </w:p>
        </w:tc>
        <w:tc>
          <w:tcPr>
            <w:tcW w:w="1084" w:type="dxa"/>
            <w:noWrap/>
            <w:hideMark/>
          </w:tcPr>
          <w:p w14:paraId="554436A2" w14:textId="52E6E12B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65,31</w:t>
            </w:r>
          </w:p>
        </w:tc>
        <w:tc>
          <w:tcPr>
            <w:tcW w:w="1109" w:type="dxa"/>
            <w:noWrap/>
            <w:hideMark/>
          </w:tcPr>
          <w:p w14:paraId="34F0C4E9" w14:textId="24582F3F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75,07</w:t>
            </w:r>
          </w:p>
        </w:tc>
        <w:tc>
          <w:tcPr>
            <w:tcW w:w="960" w:type="dxa"/>
            <w:noWrap/>
            <w:hideMark/>
          </w:tcPr>
          <w:p w14:paraId="13BEF33E" w14:textId="7DD71ECA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960" w:type="dxa"/>
            <w:noWrap/>
            <w:hideMark/>
          </w:tcPr>
          <w:p w14:paraId="1F8647C6" w14:textId="1B3DD4B1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81,12</w:t>
            </w:r>
          </w:p>
        </w:tc>
        <w:tc>
          <w:tcPr>
            <w:tcW w:w="960" w:type="dxa"/>
            <w:noWrap/>
            <w:hideMark/>
          </w:tcPr>
          <w:p w14:paraId="7D7C3DE2" w14:textId="1E5C3442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84,32</w:t>
            </w:r>
          </w:p>
        </w:tc>
        <w:tc>
          <w:tcPr>
            <w:tcW w:w="1360" w:type="dxa"/>
            <w:noWrap/>
            <w:hideMark/>
          </w:tcPr>
          <w:p w14:paraId="225F07D5" w14:textId="19EADCF3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FD3037">
              <w:rPr>
                <w:bCs/>
                <w:color w:val="000000"/>
              </w:rPr>
              <w:t>1</w:t>
            </w:r>
            <w:r w:rsidR="00903E8A">
              <w:rPr>
                <w:bCs/>
                <w:color w:val="000000"/>
              </w:rPr>
              <w:t>14,95</w:t>
            </w:r>
          </w:p>
        </w:tc>
      </w:tr>
      <w:tr w:rsidR="009B5E1D" w:rsidRPr="00FD3037" w14:paraId="67ED24DC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77FA8417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2.Naknade</w:t>
            </w:r>
          </w:p>
        </w:tc>
        <w:tc>
          <w:tcPr>
            <w:tcW w:w="1084" w:type="dxa"/>
            <w:noWrap/>
            <w:hideMark/>
          </w:tcPr>
          <w:p w14:paraId="60AA5553" w14:textId="6A7D450E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1</w:t>
            </w:r>
            <w:r w:rsidR="00903E8A">
              <w:rPr>
                <w:color w:val="000000"/>
              </w:rPr>
              <w:t>3,10</w:t>
            </w:r>
          </w:p>
        </w:tc>
        <w:tc>
          <w:tcPr>
            <w:tcW w:w="1109" w:type="dxa"/>
            <w:noWrap/>
            <w:hideMark/>
          </w:tcPr>
          <w:p w14:paraId="01982B72" w14:textId="7DF0394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1</w:t>
            </w:r>
            <w:r w:rsidR="00903E8A">
              <w:rPr>
                <w:color w:val="000000"/>
              </w:rPr>
              <w:t>5,46</w:t>
            </w:r>
          </w:p>
        </w:tc>
        <w:tc>
          <w:tcPr>
            <w:tcW w:w="960" w:type="dxa"/>
            <w:noWrap/>
            <w:hideMark/>
          </w:tcPr>
          <w:p w14:paraId="45C7632B" w14:textId="5C81E103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1</w:t>
            </w:r>
            <w:r w:rsidR="007D41AA">
              <w:rPr>
                <w:color w:val="000000"/>
              </w:rPr>
              <w:t>6,04</w:t>
            </w:r>
          </w:p>
        </w:tc>
        <w:tc>
          <w:tcPr>
            <w:tcW w:w="960" w:type="dxa"/>
            <w:noWrap/>
            <w:hideMark/>
          </w:tcPr>
          <w:p w14:paraId="0D344FA7" w14:textId="7BF27423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037">
              <w:t>1</w:t>
            </w:r>
            <w:r w:rsidR="00903E8A">
              <w:t>6,63</w:t>
            </w:r>
          </w:p>
        </w:tc>
        <w:tc>
          <w:tcPr>
            <w:tcW w:w="960" w:type="dxa"/>
            <w:noWrap/>
            <w:hideMark/>
          </w:tcPr>
          <w:p w14:paraId="2AE06F3E" w14:textId="2842DABB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17,30</w:t>
            </w:r>
          </w:p>
        </w:tc>
        <w:tc>
          <w:tcPr>
            <w:tcW w:w="1360" w:type="dxa"/>
            <w:noWrap/>
            <w:hideMark/>
          </w:tcPr>
          <w:p w14:paraId="7F18727D" w14:textId="7A7F285A" w:rsidR="009B5E1D" w:rsidRPr="00FD3037" w:rsidRDefault="009B5E1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FD3037">
              <w:rPr>
                <w:bCs/>
                <w:color w:val="000000"/>
              </w:rPr>
              <w:t>1</w:t>
            </w:r>
            <w:r w:rsidR="00903E8A">
              <w:rPr>
                <w:bCs/>
                <w:color w:val="000000"/>
              </w:rPr>
              <w:t>18,02</w:t>
            </w:r>
          </w:p>
        </w:tc>
      </w:tr>
      <w:tr w:rsidR="009B5E1D" w:rsidRPr="00FD3037" w14:paraId="4FEF971B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0FAC0B14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3.Doprinosi poslodavca</w:t>
            </w:r>
          </w:p>
        </w:tc>
        <w:tc>
          <w:tcPr>
            <w:tcW w:w="1084" w:type="dxa"/>
            <w:noWrap/>
            <w:hideMark/>
          </w:tcPr>
          <w:p w14:paraId="5631BB1B" w14:textId="78610909" w:rsidR="009B5E1D" w:rsidRPr="00FD3037" w:rsidRDefault="00903E8A" w:rsidP="00903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        6,98</w:t>
            </w:r>
          </w:p>
        </w:tc>
        <w:tc>
          <w:tcPr>
            <w:tcW w:w="1109" w:type="dxa"/>
            <w:noWrap/>
            <w:hideMark/>
          </w:tcPr>
          <w:p w14:paraId="4CE3E787" w14:textId="0F59DF81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6,02</w:t>
            </w:r>
          </w:p>
        </w:tc>
        <w:tc>
          <w:tcPr>
            <w:tcW w:w="960" w:type="dxa"/>
            <w:noWrap/>
            <w:hideMark/>
          </w:tcPr>
          <w:p w14:paraId="5E361563" w14:textId="205BA0A9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B204A1">
              <w:rPr>
                <w:color w:val="000000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5BDF4DA8" w14:textId="6345000A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6,45</w:t>
            </w:r>
          </w:p>
        </w:tc>
        <w:tc>
          <w:tcPr>
            <w:tcW w:w="960" w:type="dxa"/>
            <w:noWrap/>
            <w:hideMark/>
          </w:tcPr>
          <w:p w14:paraId="20B305F1" w14:textId="0E822C22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6,57</w:t>
            </w:r>
          </w:p>
        </w:tc>
        <w:tc>
          <w:tcPr>
            <w:tcW w:w="1360" w:type="dxa"/>
            <w:noWrap/>
            <w:hideMark/>
          </w:tcPr>
          <w:p w14:paraId="0EF7B536" w14:textId="48D5C496" w:rsidR="009B5E1D" w:rsidRPr="00FD3037" w:rsidRDefault="00903E8A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86,25</w:t>
            </w:r>
          </w:p>
        </w:tc>
      </w:tr>
      <w:tr w:rsidR="009B5E1D" w:rsidRPr="00FD3037" w14:paraId="6B9613CC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3584D361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4.Materijalni troškovi</w:t>
            </w:r>
          </w:p>
        </w:tc>
        <w:tc>
          <w:tcPr>
            <w:tcW w:w="1084" w:type="dxa"/>
            <w:noWrap/>
            <w:hideMark/>
          </w:tcPr>
          <w:p w14:paraId="43AE11A5" w14:textId="2D8F4A47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03E8A">
              <w:rPr>
                <w:color w:val="000000"/>
              </w:rPr>
              <w:t>,80</w:t>
            </w:r>
          </w:p>
        </w:tc>
        <w:tc>
          <w:tcPr>
            <w:tcW w:w="1109" w:type="dxa"/>
            <w:noWrap/>
            <w:hideMark/>
          </w:tcPr>
          <w:p w14:paraId="07E7C5E1" w14:textId="79D28870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03E8A">
              <w:rPr>
                <w:color w:val="000000"/>
              </w:rPr>
              <w:t>2,15</w:t>
            </w:r>
          </w:p>
        </w:tc>
        <w:tc>
          <w:tcPr>
            <w:tcW w:w="960" w:type="dxa"/>
            <w:noWrap/>
            <w:hideMark/>
          </w:tcPr>
          <w:p w14:paraId="619F0188" w14:textId="60935032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1</w:t>
            </w:r>
            <w:r w:rsidR="00903E8A">
              <w:rPr>
                <w:color w:val="000000"/>
              </w:rPr>
              <w:t>2,50</w:t>
            </w:r>
          </w:p>
        </w:tc>
        <w:tc>
          <w:tcPr>
            <w:tcW w:w="960" w:type="dxa"/>
            <w:noWrap/>
            <w:hideMark/>
          </w:tcPr>
          <w:p w14:paraId="2C0AB279" w14:textId="17D1AD6A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13,00</w:t>
            </w:r>
          </w:p>
        </w:tc>
        <w:tc>
          <w:tcPr>
            <w:tcW w:w="960" w:type="dxa"/>
            <w:noWrap/>
            <w:hideMark/>
          </w:tcPr>
          <w:p w14:paraId="316D8D4C" w14:textId="505A28F4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037">
              <w:t>1</w:t>
            </w:r>
            <w:r w:rsidR="00903E8A">
              <w:t>3,52</w:t>
            </w:r>
          </w:p>
        </w:tc>
        <w:tc>
          <w:tcPr>
            <w:tcW w:w="1360" w:type="dxa"/>
            <w:noWrap/>
            <w:hideMark/>
          </w:tcPr>
          <w:p w14:paraId="52D25F12" w14:textId="0DE59A80" w:rsidR="009B5E1D" w:rsidRPr="00FD3037" w:rsidRDefault="009B5E1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FD3037">
              <w:rPr>
                <w:bCs/>
                <w:color w:val="000000"/>
              </w:rPr>
              <w:t>1</w:t>
            </w:r>
            <w:r w:rsidR="00903E8A">
              <w:rPr>
                <w:bCs/>
                <w:color w:val="000000"/>
              </w:rPr>
              <w:t>38,07</w:t>
            </w:r>
          </w:p>
        </w:tc>
      </w:tr>
      <w:tr w:rsidR="009B5E1D" w:rsidRPr="00FD3037" w14:paraId="2F1509A3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77826647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5.Tekuće potpore</w:t>
            </w:r>
          </w:p>
        </w:tc>
        <w:tc>
          <w:tcPr>
            <w:tcW w:w="1084" w:type="dxa"/>
            <w:noWrap/>
            <w:hideMark/>
          </w:tcPr>
          <w:p w14:paraId="609AA4A8" w14:textId="377E5742" w:rsidR="009B5E1D" w:rsidRPr="00FD3037" w:rsidRDefault="00B0611F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03E8A">
              <w:rPr>
                <w:color w:val="000000"/>
              </w:rPr>
              <w:t>5,46</w:t>
            </w:r>
          </w:p>
        </w:tc>
        <w:tc>
          <w:tcPr>
            <w:tcW w:w="1109" w:type="dxa"/>
            <w:noWrap/>
            <w:hideMark/>
          </w:tcPr>
          <w:p w14:paraId="27ABAC68" w14:textId="0998CB69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2</w:t>
            </w:r>
            <w:r w:rsidR="00903E8A">
              <w:rPr>
                <w:color w:val="000000"/>
              </w:rPr>
              <w:t>9,09</w:t>
            </w:r>
          </w:p>
        </w:tc>
        <w:tc>
          <w:tcPr>
            <w:tcW w:w="960" w:type="dxa"/>
            <w:noWrap/>
            <w:hideMark/>
          </w:tcPr>
          <w:p w14:paraId="0001D06D" w14:textId="4F0AC296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2</w:t>
            </w:r>
            <w:r w:rsidR="00903E8A">
              <w:rPr>
                <w:color w:val="000000"/>
              </w:rPr>
              <w:t>9,</w:t>
            </w:r>
            <w:r w:rsidR="007D41AA">
              <w:rPr>
                <w:color w:val="000000"/>
              </w:rPr>
              <w:t>47</w:t>
            </w:r>
          </w:p>
        </w:tc>
        <w:tc>
          <w:tcPr>
            <w:tcW w:w="960" w:type="dxa"/>
            <w:noWrap/>
            <w:hideMark/>
          </w:tcPr>
          <w:p w14:paraId="60A59361" w14:textId="1784A9D4" w:rsidR="009B5E1D" w:rsidRPr="00FD3037" w:rsidRDefault="00903E8A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31,09</w:t>
            </w:r>
          </w:p>
        </w:tc>
        <w:tc>
          <w:tcPr>
            <w:tcW w:w="960" w:type="dxa"/>
            <w:noWrap/>
            <w:hideMark/>
          </w:tcPr>
          <w:p w14:paraId="4B13C967" w14:textId="7E35F4A7" w:rsidR="009B5E1D" w:rsidRPr="00FD3037" w:rsidRDefault="00B0611F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903E8A">
              <w:t>3,23</w:t>
            </w:r>
          </w:p>
        </w:tc>
        <w:tc>
          <w:tcPr>
            <w:tcW w:w="1360" w:type="dxa"/>
            <w:noWrap/>
            <w:hideMark/>
          </w:tcPr>
          <w:p w14:paraId="512261F6" w14:textId="291E65CB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 w:rsidRPr="00FD3037">
              <w:rPr>
                <w:bCs/>
                <w:color w:val="000000"/>
              </w:rPr>
              <w:t>1</w:t>
            </w:r>
            <w:r w:rsidR="00903E8A">
              <w:rPr>
                <w:bCs/>
                <w:color w:val="000000"/>
              </w:rPr>
              <w:t>14</w:t>
            </w:r>
            <w:r w:rsidR="000E2B64">
              <w:rPr>
                <w:bCs/>
                <w:color w:val="000000"/>
              </w:rPr>
              <w:t>,26</w:t>
            </w:r>
          </w:p>
        </w:tc>
      </w:tr>
      <w:tr w:rsidR="009B5E1D" w:rsidRPr="00FD3037" w14:paraId="417ACBF0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551F81F0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6.Kapitalne potpore</w:t>
            </w:r>
          </w:p>
        </w:tc>
        <w:tc>
          <w:tcPr>
            <w:tcW w:w="1084" w:type="dxa"/>
            <w:noWrap/>
            <w:hideMark/>
          </w:tcPr>
          <w:p w14:paraId="34C8B838" w14:textId="52953EDA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903E8A">
              <w:rPr>
                <w:color w:val="000000"/>
              </w:rPr>
              <w:t>53</w:t>
            </w:r>
          </w:p>
        </w:tc>
        <w:tc>
          <w:tcPr>
            <w:tcW w:w="1109" w:type="dxa"/>
            <w:noWrap/>
            <w:hideMark/>
          </w:tcPr>
          <w:p w14:paraId="135002A1" w14:textId="65085BED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960" w:type="dxa"/>
            <w:noWrap/>
            <w:hideMark/>
          </w:tcPr>
          <w:p w14:paraId="7F819C7F" w14:textId="33BFAA6B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  <w:tc>
          <w:tcPr>
            <w:tcW w:w="960" w:type="dxa"/>
            <w:noWrap/>
            <w:hideMark/>
          </w:tcPr>
          <w:p w14:paraId="2A5DB551" w14:textId="53D06BA2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903E8A">
              <w:t>58</w:t>
            </w:r>
          </w:p>
        </w:tc>
        <w:tc>
          <w:tcPr>
            <w:tcW w:w="960" w:type="dxa"/>
            <w:noWrap/>
            <w:hideMark/>
          </w:tcPr>
          <w:p w14:paraId="68019D98" w14:textId="309B5443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903E8A">
              <w:t>95</w:t>
            </w:r>
          </w:p>
        </w:tc>
        <w:tc>
          <w:tcPr>
            <w:tcW w:w="1360" w:type="dxa"/>
            <w:noWrap/>
            <w:hideMark/>
          </w:tcPr>
          <w:p w14:paraId="2107C0C3" w14:textId="6DEAF922" w:rsidR="009B5E1D" w:rsidRPr="00FD3037" w:rsidRDefault="000E2B64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94,48</w:t>
            </w:r>
          </w:p>
        </w:tc>
      </w:tr>
      <w:tr w:rsidR="009B5E1D" w:rsidRPr="00FD3037" w14:paraId="7DE14A0C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1EEE7A86" w14:textId="77777777" w:rsidR="009B5E1D" w:rsidRPr="00FD3037" w:rsidRDefault="009B5E1D" w:rsidP="00840534">
            <w:pPr>
              <w:rPr>
                <w:b w:val="0"/>
                <w:color w:val="000000"/>
              </w:rPr>
            </w:pPr>
            <w:r w:rsidRPr="00FD3037">
              <w:rPr>
                <w:b w:val="0"/>
                <w:color w:val="000000"/>
              </w:rPr>
              <w:t>7.Izdatci za kamate</w:t>
            </w:r>
          </w:p>
        </w:tc>
        <w:tc>
          <w:tcPr>
            <w:tcW w:w="1084" w:type="dxa"/>
            <w:noWrap/>
            <w:hideMark/>
          </w:tcPr>
          <w:p w14:paraId="3DDF3355" w14:textId="234A6A8D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0,0</w:t>
            </w:r>
            <w:r w:rsidR="00B0611F">
              <w:rPr>
                <w:color w:val="000000"/>
              </w:rPr>
              <w:t>3</w:t>
            </w:r>
          </w:p>
        </w:tc>
        <w:tc>
          <w:tcPr>
            <w:tcW w:w="1109" w:type="dxa"/>
            <w:noWrap/>
            <w:hideMark/>
          </w:tcPr>
          <w:p w14:paraId="36C116C0" w14:textId="0DB68035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0,0</w:t>
            </w:r>
            <w:r w:rsidR="00903E8A">
              <w:rPr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892998B" w14:textId="32BE337E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037">
              <w:rPr>
                <w:color w:val="000000"/>
              </w:rPr>
              <w:t>0,0</w:t>
            </w:r>
            <w:r w:rsidR="00903E8A">
              <w:rPr>
                <w:color w:val="000000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B194283" w14:textId="7CB67E9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37">
              <w:t>0,0</w:t>
            </w:r>
            <w:r w:rsidR="00903E8A">
              <w:t>2</w:t>
            </w:r>
          </w:p>
        </w:tc>
        <w:tc>
          <w:tcPr>
            <w:tcW w:w="960" w:type="dxa"/>
            <w:noWrap/>
            <w:hideMark/>
          </w:tcPr>
          <w:p w14:paraId="33196D56" w14:textId="5B523D1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037">
              <w:t>0,0</w:t>
            </w:r>
            <w:r w:rsidR="00903E8A">
              <w:t>2</w:t>
            </w:r>
          </w:p>
        </w:tc>
        <w:tc>
          <w:tcPr>
            <w:tcW w:w="1360" w:type="dxa"/>
            <w:noWrap/>
            <w:hideMark/>
          </w:tcPr>
          <w:p w14:paraId="71845C99" w14:textId="4DE3BC2C" w:rsidR="009B5E1D" w:rsidRPr="00FD3037" w:rsidRDefault="000E2B64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66,67</w:t>
            </w:r>
          </w:p>
        </w:tc>
      </w:tr>
      <w:tr w:rsidR="009B5E1D" w:rsidRPr="00FD3037" w14:paraId="15F7A1ED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6E2A0ED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 xml:space="preserve">III. KAPITALNI IZDATCI </w:t>
            </w:r>
          </w:p>
        </w:tc>
        <w:tc>
          <w:tcPr>
            <w:tcW w:w="1084" w:type="dxa"/>
            <w:noWrap/>
            <w:hideMark/>
          </w:tcPr>
          <w:p w14:paraId="7F447398" w14:textId="61A8E4EE" w:rsidR="009B5E1D" w:rsidRPr="00FD3037" w:rsidRDefault="00B0611F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</w:t>
            </w:r>
            <w:r w:rsidR="00903E8A">
              <w:rPr>
                <w:b/>
                <w:bCs/>
                <w:color w:val="000000"/>
              </w:rPr>
              <w:t>13</w:t>
            </w:r>
          </w:p>
        </w:tc>
        <w:tc>
          <w:tcPr>
            <w:tcW w:w="1109" w:type="dxa"/>
            <w:noWrap/>
            <w:hideMark/>
          </w:tcPr>
          <w:p w14:paraId="001383B6" w14:textId="50314C6F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12,67</w:t>
            </w:r>
          </w:p>
        </w:tc>
        <w:tc>
          <w:tcPr>
            <w:tcW w:w="960" w:type="dxa"/>
            <w:noWrap/>
            <w:hideMark/>
          </w:tcPr>
          <w:p w14:paraId="07B08967" w14:textId="07DCDE9A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12,88</w:t>
            </w:r>
          </w:p>
        </w:tc>
        <w:tc>
          <w:tcPr>
            <w:tcW w:w="960" w:type="dxa"/>
            <w:noWrap/>
            <w:hideMark/>
          </w:tcPr>
          <w:p w14:paraId="1A93F54F" w14:textId="203C17D2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14,30</w:t>
            </w:r>
          </w:p>
        </w:tc>
        <w:tc>
          <w:tcPr>
            <w:tcW w:w="960" w:type="dxa"/>
            <w:noWrap/>
            <w:hideMark/>
          </w:tcPr>
          <w:p w14:paraId="3936A45F" w14:textId="52D4FA47" w:rsidR="009B5E1D" w:rsidRPr="00FD3037" w:rsidRDefault="00903E8A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15,70</w:t>
            </w:r>
          </w:p>
        </w:tc>
        <w:tc>
          <w:tcPr>
            <w:tcW w:w="1360" w:type="dxa"/>
            <w:noWrap/>
            <w:hideMark/>
          </w:tcPr>
          <w:p w14:paraId="004C9B8A" w14:textId="4DED20CB" w:rsidR="009B5E1D" w:rsidRPr="00FD3037" w:rsidRDefault="000E2B64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246,98</w:t>
            </w:r>
          </w:p>
        </w:tc>
      </w:tr>
      <w:tr w:rsidR="009B5E1D" w:rsidRPr="00FD3037" w14:paraId="61D50480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580BBBB1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>IV. OTPLATA POZAJMLJIVANJA</w:t>
            </w:r>
          </w:p>
        </w:tc>
        <w:tc>
          <w:tcPr>
            <w:tcW w:w="1084" w:type="dxa"/>
            <w:noWrap/>
            <w:hideMark/>
          </w:tcPr>
          <w:p w14:paraId="552C5F28" w14:textId="534BFF39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0,</w:t>
            </w:r>
            <w:r w:rsidR="00903E8A">
              <w:rPr>
                <w:b/>
                <w:bCs/>
                <w:color w:val="000000"/>
              </w:rPr>
              <w:t>26</w:t>
            </w:r>
          </w:p>
        </w:tc>
        <w:tc>
          <w:tcPr>
            <w:tcW w:w="1109" w:type="dxa"/>
            <w:noWrap/>
            <w:hideMark/>
          </w:tcPr>
          <w:p w14:paraId="224B5621" w14:textId="7BEF10C7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0,</w:t>
            </w:r>
            <w:r w:rsidR="00903E8A"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3F33E63D" w14:textId="124679CA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0</w:t>
            </w:r>
            <w:r w:rsidR="00B84D46">
              <w:rPr>
                <w:b/>
                <w:bCs/>
                <w:color w:val="000000"/>
              </w:rPr>
              <w:t>,</w:t>
            </w:r>
            <w:r w:rsidR="00903E8A">
              <w:rPr>
                <w:b/>
                <w:bCs/>
                <w:color w:val="000000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4514791E" w14:textId="729D22FA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0,</w:t>
            </w:r>
            <w:r w:rsidR="00903E8A">
              <w:rPr>
                <w:b/>
                <w:bCs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3D774E43" w14:textId="4F59403D" w:rsidR="009B5E1D" w:rsidRPr="00FD3037" w:rsidRDefault="009B5E1D" w:rsidP="0084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D3037">
              <w:rPr>
                <w:b/>
                <w:bCs/>
              </w:rPr>
              <w:t>0,</w:t>
            </w:r>
            <w:r w:rsidR="00903E8A">
              <w:rPr>
                <w:b/>
                <w:bCs/>
              </w:rPr>
              <w:t>26</w:t>
            </w:r>
          </w:p>
        </w:tc>
        <w:tc>
          <w:tcPr>
            <w:tcW w:w="1360" w:type="dxa"/>
            <w:noWrap/>
            <w:hideMark/>
          </w:tcPr>
          <w:p w14:paraId="25023C6E" w14:textId="77777777" w:rsidR="009B5E1D" w:rsidRPr="00FD3037" w:rsidRDefault="009B5E1D" w:rsidP="00840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100,00</w:t>
            </w:r>
          </w:p>
        </w:tc>
      </w:tr>
      <w:tr w:rsidR="009B5E1D" w:rsidRPr="00FD3037" w14:paraId="15426D4B" w14:textId="77777777" w:rsidTr="00F241E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  <w:noWrap/>
            <w:hideMark/>
          </w:tcPr>
          <w:p w14:paraId="441A99B6" w14:textId="77777777" w:rsidR="009B5E1D" w:rsidRPr="00FD3037" w:rsidRDefault="009B5E1D" w:rsidP="00840534">
            <w:pPr>
              <w:rPr>
                <w:color w:val="000000"/>
              </w:rPr>
            </w:pPr>
            <w:r w:rsidRPr="00FD3037">
              <w:rPr>
                <w:color w:val="000000"/>
              </w:rPr>
              <w:t>V. FINANCIRANJE DEFICITA</w:t>
            </w:r>
          </w:p>
        </w:tc>
        <w:tc>
          <w:tcPr>
            <w:tcW w:w="1084" w:type="dxa"/>
            <w:noWrap/>
            <w:hideMark/>
          </w:tcPr>
          <w:p w14:paraId="4B87B495" w14:textId="7777777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30278D53" w14:textId="7777777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  <w:tc>
          <w:tcPr>
            <w:tcW w:w="960" w:type="dxa"/>
            <w:noWrap/>
            <w:hideMark/>
          </w:tcPr>
          <w:p w14:paraId="786570C8" w14:textId="7777777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  <w:tc>
          <w:tcPr>
            <w:tcW w:w="960" w:type="dxa"/>
            <w:noWrap/>
            <w:hideMark/>
          </w:tcPr>
          <w:p w14:paraId="66A49B5F" w14:textId="7777777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  <w:tc>
          <w:tcPr>
            <w:tcW w:w="960" w:type="dxa"/>
            <w:noWrap/>
            <w:hideMark/>
          </w:tcPr>
          <w:p w14:paraId="53E968F2" w14:textId="77777777" w:rsidR="009B5E1D" w:rsidRPr="00FD3037" w:rsidRDefault="009B5E1D" w:rsidP="0084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  <w:tc>
          <w:tcPr>
            <w:tcW w:w="1360" w:type="dxa"/>
            <w:noWrap/>
            <w:hideMark/>
          </w:tcPr>
          <w:p w14:paraId="3C6BF929" w14:textId="77777777" w:rsidR="009B5E1D" w:rsidRPr="00FD3037" w:rsidRDefault="009B5E1D" w:rsidP="00840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FD3037">
              <w:rPr>
                <w:b/>
                <w:bCs/>
                <w:color w:val="000000"/>
              </w:rPr>
              <w:t>-</w:t>
            </w:r>
          </w:p>
        </w:tc>
      </w:tr>
    </w:tbl>
    <w:bookmarkEnd w:id="72"/>
    <w:bookmarkEnd w:id="74"/>
    <w:bookmarkEnd w:id="75"/>
    <w:p w14:paraId="30679018" w14:textId="77777777" w:rsidR="00CF152E" w:rsidRPr="00877702" w:rsidRDefault="00877702" w:rsidP="00CF152E">
      <w:pPr>
        <w:jc w:val="both"/>
        <w:rPr>
          <w:sz w:val="20"/>
        </w:rPr>
      </w:pPr>
      <w:r w:rsidRPr="00877702">
        <w:rPr>
          <w:sz w:val="20"/>
        </w:rPr>
        <w:t>Izvor: Ministarstvo financija HBŽ</w:t>
      </w:r>
    </w:p>
    <w:p w14:paraId="100FA4E4" w14:textId="77777777" w:rsidR="00877702" w:rsidRDefault="00877702" w:rsidP="00CF152E">
      <w:pPr>
        <w:jc w:val="both"/>
        <w:rPr>
          <w:sz w:val="24"/>
          <w:szCs w:val="24"/>
        </w:rPr>
      </w:pPr>
    </w:p>
    <w:p w14:paraId="5CD69884" w14:textId="77777777" w:rsidR="00A21D39" w:rsidRDefault="00A21D39" w:rsidP="008A631D">
      <w:pPr>
        <w:jc w:val="both"/>
        <w:rPr>
          <w:sz w:val="24"/>
          <w:szCs w:val="24"/>
        </w:rPr>
      </w:pPr>
      <w:bookmarkStart w:id="80" w:name="_Toc106015343"/>
    </w:p>
    <w:p w14:paraId="2FA5DAEB" w14:textId="77777777" w:rsidR="00A21D39" w:rsidRPr="00754CCC" w:rsidRDefault="00A21D39" w:rsidP="008A631D">
      <w:pPr>
        <w:jc w:val="both"/>
        <w:rPr>
          <w:sz w:val="24"/>
          <w:szCs w:val="24"/>
        </w:rPr>
      </w:pPr>
    </w:p>
    <w:p w14:paraId="08CC307B" w14:textId="77777777" w:rsidR="00CF152E" w:rsidRDefault="0040767F" w:rsidP="0040767F">
      <w:pPr>
        <w:pStyle w:val="Naslov2"/>
      </w:pPr>
      <w:bookmarkStart w:id="81" w:name="_Toc232407835"/>
      <w:r>
        <w:t>3.5.</w:t>
      </w:r>
      <w:r w:rsidR="00CF152E">
        <w:t xml:space="preserve"> Financiranje</w:t>
      </w:r>
      <w:bookmarkEnd w:id="80"/>
      <w:bookmarkEnd w:id="81"/>
    </w:p>
    <w:p w14:paraId="1C6CA09F" w14:textId="77777777" w:rsidR="002B7412" w:rsidRPr="002B7412" w:rsidRDefault="002B7412" w:rsidP="002B7412"/>
    <w:p w14:paraId="0E5AC79C" w14:textId="77777777" w:rsidR="00CF152E" w:rsidRPr="002A404F" w:rsidRDefault="00CF152E" w:rsidP="00CF152E"/>
    <w:p w14:paraId="4BA868F6" w14:textId="77777777" w:rsidR="00CF152E" w:rsidRDefault="00CF152E" w:rsidP="00CF152E">
      <w:pPr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Financiranje iz domaćih izvora</w:t>
      </w:r>
    </w:p>
    <w:p w14:paraId="16CF958A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34A87F63" w14:textId="443B05F6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Domaće financiranje</w:t>
      </w:r>
      <w:r w:rsidR="006B4A2C" w:rsidRPr="00A315B4">
        <w:rPr>
          <w:sz w:val="24"/>
          <w:szCs w:val="24"/>
        </w:rPr>
        <w:t xml:space="preserve"> nije planirano u razdoblju 202</w:t>
      </w:r>
      <w:r w:rsidR="000E2B64">
        <w:rPr>
          <w:sz w:val="24"/>
          <w:szCs w:val="24"/>
        </w:rPr>
        <w:t>7</w:t>
      </w:r>
      <w:r w:rsidR="006B4A2C" w:rsidRPr="00A315B4">
        <w:rPr>
          <w:sz w:val="24"/>
          <w:szCs w:val="24"/>
        </w:rPr>
        <w:t>.-202</w:t>
      </w:r>
      <w:r w:rsidR="000E2B64">
        <w:rPr>
          <w:sz w:val="24"/>
          <w:szCs w:val="24"/>
        </w:rPr>
        <w:t>9</w:t>
      </w:r>
      <w:r w:rsidRPr="00A315B4">
        <w:rPr>
          <w:sz w:val="24"/>
          <w:szCs w:val="24"/>
        </w:rPr>
        <w:t>. godine dok je planiran izdatak za otplatu postojećih kredita iz prethodnih razdoblja.</w:t>
      </w:r>
    </w:p>
    <w:p w14:paraId="3F2BD1E8" w14:textId="77777777" w:rsidR="00A315B4" w:rsidRDefault="00A315B4" w:rsidP="002B7412">
      <w:pPr>
        <w:ind w:firstLine="708"/>
        <w:jc w:val="both"/>
        <w:rPr>
          <w:sz w:val="24"/>
          <w:szCs w:val="24"/>
        </w:rPr>
      </w:pPr>
    </w:p>
    <w:p w14:paraId="0F207C10" w14:textId="77777777" w:rsidR="00CF152E" w:rsidRPr="00A315B4" w:rsidRDefault="00CF152E" w:rsidP="002B7412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Prema Zakonu o proračunima u Federaciji BiH, u računu financiranja iskazuju se primitci od financijske imovine, primljeni krediti i zajmovi te izdatci za financijsku imovinu i otplatu kredita i zajmova.</w:t>
      </w:r>
    </w:p>
    <w:p w14:paraId="6C442FED" w14:textId="77777777" w:rsidR="00CF152E" w:rsidRDefault="00CF152E" w:rsidP="00CF152E">
      <w:pPr>
        <w:jc w:val="both"/>
        <w:rPr>
          <w:sz w:val="24"/>
          <w:szCs w:val="24"/>
        </w:rPr>
      </w:pPr>
    </w:p>
    <w:p w14:paraId="7A1F3D21" w14:textId="77777777" w:rsidR="000E2B64" w:rsidRDefault="000E2B64" w:rsidP="00CF152E">
      <w:pPr>
        <w:jc w:val="both"/>
        <w:rPr>
          <w:sz w:val="24"/>
          <w:szCs w:val="24"/>
        </w:rPr>
      </w:pPr>
    </w:p>
    <w:p w14:paraId="0CAB1FDE" w14:textId="77777777" w:rsidR="000E2B64" w:rsidRDefault="000E2B64" w:rsidP="00CF152E">
      <w:pPr>
        <w:jc w:val="both"/>
        <w:rPr>
          <w:sz w:val="24"/>
          <w:szCs w:val="24"/>
        </w:rPr>
      </w:pPr>
    </w:p>
    <w:p w14:paraId="3670D6B1" w14:textId="77777777" w:rsidR="000E2B64" w:rsidRDefault="000E2B64" w:rsidP="00CF152E">
      <w:pPr>
        <w:jc w:val="both"/>
        <w:rPr>
          <w:sz w:val="24"/>
          <w:szCs w:val="24"/>
        </w:rPr>
      </w:pPr>
    </w:p>
    <w:p w14:paraId="05F70B1C" w14:textId="77777777" w:rsidR="000E2B64" w:rsidRDefault="000E2B64" w:rsidP="00CF152E">
      <w:pPr>
        <w:jc w:val="both"/>
        <w:rPr>
          <w:sz w:val="24"/>
          <w:szCs w:val="24"/>
        </w:rPr>
      </w:pPr>
    </w:p>
    <w:p w14:paraId="38DC2BCC" w14:textId="77777777" w:rsidR="000E2B64" w:rsidRDefault="000E2B64" w:rsidP="00CF152E">
      <w:pPr>
        <w:jc w:val="both"/>
        <w:rPr>
          <w:sz w:val="24"/>
          <w:szCs w:val="24"/>
        </w:rPr>
      </w:pPr>
    </w:p>
    <w:p w14:paraId="30732997" w14:textId="77777777" w:rsidR="000E2B64" w:rsidRDefault="000E2B64" w:rsidP="00CF152E">
      <w:pPr>
        <w:jc w:val="both"/>
        <w:rPr>
          <w:sz w:val="24"/>
          <w:szCs w:val="24"/>
        </w:rPr>
      </w:pPr>
    </w:p>
    <w:p w14:paraId="5FDD1818" w14:textId="77777777" w:rsidR="000E2B64" w:rsidRDefault="000E2B64" w:rsidP="00CF152E">
      <w:pPr>
        <w:jc w:val="both"/>
        <w:rPr>
          <w:sz w:val="24"/>
          <w:szCs w:val="24"/>
        </w:rPr>
      </w:pPr>
    </w:p>
    <w:p w14:paraId="4D7C0664" w14:textId="77777777" w:rsidR="000E2B64" w:rsidRDefault="000E2B64" w:rsidP="00CF152E">
      <w:pPr>
        <w:jc w:val="both"/>
        <w:rPr>
          <w:sz w:val="24"/>
          <w:szCs w:val="24"/>
        </w:rPr>
      </w:pPr>
    </w:p>
    <w:p w14:paraId="758C4542" w14:textId="77777777" w:rsidR="000E2B64" w:rsidRDefault="000E2B64" w:rsidP="00CF152E">
      <w:pPr>
        <w:jc w:val="both"/>
        <w:rPr>
          <w:sz w:val="24"/>
          <w:szCs w:val="24"/>
        </w:rPr>
      </w:pPr>
    </w:p>
    <w:p w14:paraId="2AF4129E" w14:textId="77777777" w:rsidR="000E2B64" w:rsidRDefault="000E2B64" w:rsidP="00CF152E">
      <w:pPr>
        <w:jc w:val="both"/>
        <w:rPr>
          <w:sz w:val="24"/>
          <w:szCs w:val="24"/>
        </w:rPr>
      </w:pPr>
    </w:p>
    <w:p w14:paraId="35D337CF" w14:textId="77777777" w:rsidR="000E2B64" w:rsidRPr="00A315B4" w:rsidRDefault="000E2B64" w:rsidP="00CF152E">
      <w:pPr>
        <w:jc w:val="both"/>
        <w:rPr>
          <w:sz w:val="24"/>
          <w:szCs w:val="24"/>
        </w:rPr>
      </w:pPr>
    </w:p>
    <w:p w14:paraId="0EEF8732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16223274" w14:textId="35B08D59" w:rsidR="00CF152E" w:rsidRDefault="00877702" w:rsidP="00877702">
      <w:pPr>
        <w:pStyle w:val="Opisslike"/>
      </w:pPr>
      <w:bookmarkStart w:id="82" w:name="_Toc106179189"/>
      <w:bookmarkStart w:id="83" w:name="_Toc232407855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7</w:t>
      </w:r>
      <w:r w:rsidR="00D82381">
        <w:fldChar w:fldCharType="end"/>
      </w:r>
      <w:r>
        <w:t xml:space="preserve">. </w:t>
      </w:r>
      <w:r w:rsidR="00CF152E" w:rsidRPr="00337281">
        <w:t>Račun financiranja z</w:t>
      </w:r>
      <w:r w:rsidR="006B4A2C">
        <w:t>a razdoblje 202</w:t>
      </w:r>
      <w:r w:rsidR="000E2B64">
        <w:t>7</w:t>
      </w:r>
      <w:r w:rsidR="00C06995">
        <w:t>.-202</w:t>
      </w:r>
      <w:r w:rsidR="000E2B64">
        <w:t>9</w:t>
      </w:r>
      <w:r w:rsidR="00CF152E" w:rsidRPr="00337281">
        <w:t>. godina</w:t>
      </w:r>
      <w:bookmarkEnd w:id="82"/>
      <w:bookmarkEnd w:id="83"/>
      <w:r w:rsidR="00CF152E" w:rsidRPr="00337281">
        <w:t xml:space="preserve"> </w:t>
      </w:r>
    </w:p>
    <w:tbl>
      <w:tblPr>
        <w:tblStyle w:val="Svijetlipopis-Isticanje11"/>
        <w:tblW w:w="7669" w:type="dxa"/>
        <w:jc w:val="center"/>
        <w:tblLook w:val="04A0" w:firstRow="1" w:lastRow="0" w:firstColumn="1" w:lastColumn="0" w:noHBand="0" w:noVBand="1"/>
      </w:tblPr>
      <w:tblGrid>
        <w:gridCol w:w="1991"/>
        <w:gridCol w:w="973"/>
        <w:gridCol w:w="1423"/>
        <w:gridCol w:w="826"/>
        <w:gridCol w:w="2456"/>
      </w:tblGrid>
      <w:tr w:rsidR="00F819A7" w:rsidRPr="009130A3" w14:paraId="6ED9EF39" w14:textId="239C81AE" w:rsidTr="00F81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  <w:hideMark/>
          </w:tcPr>
          <w:p w14:paraId="38F642D7" w14:textId="77777777" w:rsidR="00F819A7" w:rsidRPr="009130A3" w:rsidRDefault="00F819A7" w:rsidP="009130A3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9130A3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22" w:type="dxa"/>
            <w:gridSpan w:val="3"/>
            <w:hideMark/>
          </w:tcPr>
          <w:p w14:paraId="5A6EFC82" w14:textId="77777777" w:rsidR="00F819A7" w:rsidRPr="004F5C2F" w:rsidRDefault="00F819A7" w:rsidP="00913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4F5C2F">
              <w:rPr>
                <w:rFonts w:ascii="Arial" w:hAnsi="Arial" w:cs="Arial"/>
                <w:color w:val="000000" w:themeColor="text1"/>
                <w:sz w:val="20"/>
              </w:rPr>
              <w:t>Prognoza</w:t>
            </w:r>
          </w:p>
        </w:tc>
        <w:tc>
          <w:tcPr>
            <w:tcW w:w="2456" w:type="dxa"/>
          </w:tcPr>
          <w:p w14:paraId="4627C8C7" w14:textId="77777777" w:rsidR="00F819A7" w:rsidRPr="004F5C2F" w:rsidRDefault="00F819A7" w:rsidP="00913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819A7" w:rsidRPr="009130A3" w14:paraId="3FB38357" w14:textId="7F4E4897" w:rsidTr="00F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  <w:hideMark/>
          </w:tcPr>
          <w:p w14:paraId="39BB6268" w14:textId="77777777" w:rsidR="00F819A7" w:rsidRPr="009130A3" w:rsidRDefault="00F819A7" w:rsidP="009130A3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14:paraId="64BAFDA1" w14:textId="77777777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  <w:r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23" w:type="dxa"/>
            <w:hideMark/>
          </w:tcPr>
          <w:p w14:paraId="74A0FF1F" w14:textId="77777777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5" w:type="dxa"/>
            <w:hideMark/>
          </w:tcPr>
          <w:p w14:paraId="5F684F35" w14:textId="77777777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  <w:r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56" w:type="dxa"/>
          </w:tcPr>
          <w:p w14:paraId="7943C1F0" w14:textId="2C8FD6B2" w:rsidR="00F819A7" w:rsidRDefault="000E2B64" w:rsidP="000E2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="00F819A7">
              <w:rPr>
                <w:rFonts w:ascii="Arial" w:hAnsi="Arial" w:cs="Arial"/>
                <w:b/>
                <w:bCs/>
                <w:sz w:val="16"/>
                <w:szCs w:val="16"/>
              </w:rPr>
              <w:t>2028.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2029.</w:t>
            </w:r>
          </w:p>
        </w:tc>
      </w:tr>
      <w:tr w:rsidR="00F819A7" w:rsidRPr="009130A3" w14:paraId="3F679CAD" w14:textId="37740268" w:rsidTr="00F819A7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hideMark/>
          </w:tcPr>
          <w:p w14:paraId="64C26756" w14:textId="77777777" w:rsidR="00F819A7" w:rsidRPr="009130A3" w:rsidRDefault="00F819A7" w:rsidP="009130A3">
            <w:pPr>
              <w:rPr>
                <w:rFonts w:ascii="Arial" w:hAnsi="Arial" w:cs="Arial"/>
                <w:color w:val="000000"/>
                <w:sz w:val="20"/>
              </w:rPr>
            </w:pPr>
            <w:r w:rsidRPr="009130A3">
              <w:rPr>
                <w:rFonts w:ascii="Arial" w:hAnsi="Arial" w:cs="Arial"/>
                <w:color w:val="000000"/>
                <w:sz w:val="20"/>
              </w:rPr>
              <w:t>Primitci od kredita i zajmova</w:t>
            </w:r>
          </w:p>
        </w:tc>
        <w:tc>
          <w:tcPr>
            <w:tcW w:w="973" w:type="dxa"/>
            <w:hideMark/>
          </w:tcPr>
          <w:p w14:paraId="11033A11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423" w:type="dxa"/>
            <w:hideMark/>
          </w:tcPr>
          <w:p w14:paraId="43D76043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25" w:type="dxa"/>
            <w:hideMark/>
          </w:tcPr>
          <w:p w14:paraId="3894CC1F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456" w:type="dxa"/>
          </w:tcPr>
          <w:p w14:paraId="788D311C" w14:textId="124FE613" w:rsidR="00F819A7" w:rsidRPr="009130A3" w:rsidRDefault="000E2B64" w:rsidP="000E2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</w:t>
            </w:r>
            <w:r w:rsidR="00F819A7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0</w:t>
            </w:r>
          </w:p>
        </w:tc>
      </w:tr>
      <w:tr w:rsidR="00F819A7" w:rsidRPr="009130A3" w14:paraId="1C3D211D" w14:textId="5BA1FD80" w:rsidTr="00F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hideMark/>
          </w:tcPr>
          <w:p w14:paraId="04F26368" w14:textId="77777777" w:rsidR="00F819A7" w:rsidRPr="009130A3" w:rsidRDefault="00F819A7" w:rsidP="009130A3">
            <w:pPr>
              <w:rPr>
                <w:rFonts w:ascii="Arial" w:hAnsi="Arial" w:cs="Arial"/>
                <w:color w:val="000000"/>
                <w:sz w:val="20"/>
              </w:rPr>
            </w:pPr>
            <w:r w:rsidRPr="009130A3">
              <w:rPr>
                <w:rFonts w:ascii="Arial" w:hAnsi="Arial" w:cs="Arial"/>
                <w:color w:val="000000"/>
                <w:sz w:val="20"/>
              </w:rPr>
              <w:t>1.  Izdatci za otplatu kredita</w:t>
            </w:r>
          </w:p>
        </w:tc>
        <w:tc>
          <w:tcPr>
            <w:tcW w:w="973" w:type="dxa"/>
            <w:hideMark/>
          </w:tcPr>
          <w:p w14:paraId="61DC35FD" w14:textId="7B98FDF9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</w:t>
            </w:r>
            <w:r w:rsidR="000E2B64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1423" w:type="dxa"/>
            <w:hideMark/>
          </w:tcPr>
          <w:p w14:paraId="5810275D" w14:textId="7E0D4C2A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</w:t>
            </w:r>
            <w:r w:rsidR="000E2B64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825" w:type="dxa"/>
            <w:hideMark/>
          </w:tcPr>
          <w:p w14:paraId="7EC30FAB" w14:textId="69BB6809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</w:t>
            </w:r>
            <w:r w:rsidR="000E2B64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2456" w:type="dxa"/>
          </w:tcPr>
          <w:p w14:paraId="7086FAED" w14:textId="0C027490" w:rsidR="00F819A7" w:rsidRDefault="000E2B64" w:rsidP="000E2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</w:t>
            </w:r>
            <w:r w:rsidR="00F819A7">
              <w:rPr>
                <w:rFonts w:ascii="Arial" w:hAnsi="Arial" w:cs="Arial"/>
                <w:b/>
                <w:bCs/>
                <w:color w:val="000000"/>
                <w:sz w:val="20"/>
              </w:rPr>
              <w:t>0,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26               0,26</w:t>
            </w:r>
          </w:p>
        </w:tc>
      </w:tr>
      <w:tr w:rsidR="00F819A7" w:rsidRPr="009130A3" w14:paraId="7E2F8EC7" w14:textId="055557BA" w:rsidTr="00F819A7">
        <w:trPr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tcBorders>
              <w:bottom w:val="single" w:sz="8" w:space="0" w:color="4F81BD" w:themeColor="accent1"/>
            </w:tcBorders>
            <w:hideMark/>
          </w:tcPr>
          <w:p w14:paraId="702C111A" w14:textId="77777777" w:rsidR="00F819A7" w:rsidRPr="009130A3" w:rsidRDefault="00F819A7" w:rsidP="009130A3">
            <w:pPr>
              <w:rPr>
                <w:rFonts w:ascii="Arial" w:hAnsi="Arial" w:cs="Arial"/>
                <w:color w:val="000000"/>
                <w:sz w:val="20"/>
              </w:rPr>
            </w:pPr>
            <w:r w:rsidRPr="009130A3">
              <w:rPr>
                <w:rFonts w:ascii="Arial" w:hAnsi="Arial" w:cs="Arial"/>
                <w:color w:val="000000"/>
                <w:sz w:val="20"/>
              </w:rPr>
              <w:t>2.  Izdatci za financiranje deficita</w:t>
            </w:r>
          </w:p>
        </w:tc>
        <w:tc>
          <w:tcPr>
            <w:tcW w:w="973" w:type="dxa"/>
            <w:tcBorders>
              <w:bottom w:val="single" w:sz="8" w:space="0" w:color="4F81BD" w:themeColor="accent1"/>
            </w:tcBorders>
            <w:hideMark/>
          </w:tcPr>
          <w:p w14:paraId="6598FBCB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bottom w:val="single" w:sz="8" w:space="0" w:color="4F81BD" w:themeColor="accent1"/>
            </w:tcBorders>
            <w:hideMark/>
          </w:tcPr>
          <w:p w14:paraId="39008392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825" w:type="dxa"/>
            <w:tcBorders>
              <w:bottom w:val="single" w:sz="8" w:space="0" w:color="4F81BD" w:themeColor="accent1"/>
            </w:tcBorders>
            <w:hideMark/>
          </w:tcPr>
          <w:p w14:paraId="63C4564C" w14:textId="77777777" w:rsidR="00F819A7" w:rsidRPr="009130A3" w:rsidRDefault="00F819A7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130A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456" w:type="dxa"/>
            <w:tcBorders>
              <w:bottom w:val="single" w:sz="8" w:space="0" w:color="4F81BD" w:themeColor="accent1"/>
            </w:tcBorders>
          </w:tcPr>
          <w:p w14:paraId="36133757" w14:textId="3D1D6A2A" w:rsidR="00F819A7" w:rsidRPr="009130A3" w:rsidRDefault="000E2B64" w:rsidP="000E2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</w:t>
            </w:r>
            <w:r w:rsidR="00F819A7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0</w:t>
            </w:r>
          </w:p>
        </w:tc>
      </w:tr>
      <w:tr w:rsidR="00F819A7" w:rsidRPr="009130A3" w14:paraId="21EDCC6B" w14:textId="1A3EC3FF" w:rsidTr="00F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C6D9F1" w:themeFill="text2" w:themeFillTint="33"/>
            <w:hideMark/>
          </w:tcPr>
          <w:p w14:paraId="01855B16" w14:textId="77777777" w:rsidR="00F819A7" w:rsidRPr="009130A3" w:rsidRDefault="00F819A7" w:rsidP="009130A3">
            <w:pPr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9130A3">
              <w:rPr>
                <w:rFonts w:ascii="Arial" w:hAnsi="Arial" w:cs="Arial"/>
                <w:color w:val="000000"/>
                <w:szCs w:val="22"/>
              </w:rPr>
              <w:t xml:space="preserve"> Bilanca financiranja</w:t>
            </w:r>
          </w:p>
        </w:tc>
        <w:tc>
          <w:tcPr>
            <w:tcW w:w="973" w:type="dxa"/>
            <w:shd w:val="clear" w:color="auto" w:fill="C6D9F1" w:themeFill="text2" w:themeFillTint="33"/>
            <w:hideMark/>
          </w:tcPr>
          <w:p w14:paraId="740418F4" w14:textId="1C7E07EC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-0,</w:t>
            </w:r>
            <w:r w:rsidR="000E2B64">
              <w:rPr>
                <w:rFonts w:ascii="Arial" w:hAnsi="Arial" w:cs="Arial"/>
                <w:b/>
                <w:bCs/>
                <w:color w:val="000000"/>
                <w:szCs w:val="22"/>
              </w:rPr>
              <w:t>26</w:t>
            </w:r>
          </w:p>
        </w:tc>
        <w:tc>
          <w:tcPr>
            <w:tcW w:w="1423" w:type="dxa"/>
            <w:shd w:val="clear" w:color="auto" w:fill="C6D9F1" w:themeFill="text2" w:themeFillTint="33"/>
            <w:hideMark/>
          </w:tcPr>
          <w:p w14:paraId="5C3E5129" w14:textId="2B488277" w:rsidR="00F819A7" w:rsidRPr="009130A3" w:rsidRDefault="00F819A7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-0,</w:t>
            </w:r>
            <w:r w:rsidR="000E2B64">
              <w:rPr>
                <w:rFonts w:ascii="Arial" w:hAnsi="Arial" w:cs="Arial"/>
                <w:b/>
                <w:bCs/>
                <w:color w:val="000000"/>
                <w:szCs w:val="22"/>
              </w:rPr>
              <w:t>26</w:t>
            </w:r>
          </w:p>
        </w:tc>
        <w:tc>
          <w:tcPr>
            <w:tcW w:w="825" w:type="dxa"/>
            <w:shd w:val="clear" w:color="auto" w:fill="C6D9F1" w:themeFill="text2" w:themeFillTint="33"/>
            <w:hideMark/>
          </w:tcPr>
          <w:p w14:paraId="5DBC7553" w14:textId="15A587D9" w:rsidR="00F819A7" w:rsidRPr="009130A3" w:rsidRDefault="00F819A7" w:rsidP="00F8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-0,</w:t>
            </w:r>
            <w:r w:rsidR="000E2B64">
              <w:rPr>
                <w:rFonts w:ascii="Arial" w:hAnsi="Arial" w:cs="Arial"/>
                <w:b/>
                <w:bCs/>
                <w:color w:val="000000"/>
                <w:szCs w:val="22"/>
              </w:rPr>
              <w:t>26</w:t>
            </w:r>
          </w:p>
        </w:tc>
        <w:tc>
          <w:tcPr>
            <w:tcW w:w="2456" w:type="dxa"/>
            <w:shd w:val="clear" w:color="auto" w:fill="C6D9F1" w:themeFill="text2" w:themeFillTint="33"/>
          </w:tcPr>
          <w:p w14:paraId="74F1DABC" w14:textId="479ABC34" w:rsidR="00F819A7" w:rsidRDefault="000E2B64" w:rsidP="000E2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</w:t>
            </w:r>
            <w:r w:rsidR="00F819A7">
              <w:rPr>
                <w:rFonts w:ascii="Arial" w:hAnsi="Arial" w:cs="Arial"/>
                <w:b/>
                <w:bCs/>
                <w:color w:val="000000"/>
                <w:szCs w:val="22"/>
              </w:rPr>
              <w:t>-0,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26        -0,26</w:t>
            </w:r>
          </w:p>
        </w:tc>
      </w:tr>
    </w:tbl>
    <w:p w14:paraId="3AC7E17D" w14:textId="77777777" w:rsidR="009130A3" w:rsidRPr="009130A3" w:rsidRDefault="009130A3" w:rsidP="009130A3">
      <w:pPr>
        <w:rPr>
          <w:lang w:val="bs-Latn-BA"/>
        </w:rPr>
      </w:pPr>
    </w:p>
    <w:p w14:paraId="2122503A" w14:textId="77777777" w:rsidR="00CF152E" w:rsidRDefault="00CF152E" w:rsidP="00CF152E">
      <w:pPr>
        <w:jc w:val="both"/>
        <w:rPr>
          <w:rFonts w:ascii="Arial" w:hAnsi="Arial" w:cs="Arial"/>
          <w:b/>
          <w:szCs w:val="22"/>
        </w:rPr>
      </w:pPr>
    </w:p>
    <w:p w14:paraId="363B67F1" w14:textId="77777777" w:rsidR="00A2479F" w:rsidRDefault="00A2479F" w:rsidP="00CF152E">
      <w:pPr>
        <w:jc w:val="both"/>
        <w:rPr>
          <w:rFonts w:ascii="Arial" w:hAnsi="Arial" w:cs="Arial"/>
          <w:b/>
          <w:szCs w:val="22"/>
        </w:rPr>
      </w:pPr>
    </w:p>
    <w:p w14:paraId="1C180B60" w14:textId="77777777" w:rsidR="00A2479F" w:rsidRDefault="00A2479F" w:rsidP="00CF152E">
      <w:pPr>
        <w:jc w:val="both"/>
        <w:rPr>
          <w:rFonts w:ascii="Arial" w:hAnsi="Arial" w:cs="Arial"/>
          <w:b/>
          <w:szCs w:val="22"/>
        </w:rPr>
      </w:pPr>
    </w:p>
    <w:p w14:paraId="7F9C13B0" w14:textId="77777777" w:rsidR="00A2479F" w:rsidRPr="00C4571D" w:rsidRDefault="00A2479F" w:rsidP="00CF152E">
      <w:pPr>
        <w:jc w:val="both"/>
        <w:rPr>
          <w:rFonts w:ascii="Arial" w:hAnsi="Arial" w:cs="Arial"/>
          <w:b/>
          <w:szCs w:val="22"/>
        </w:rPr>
      </w:pPr>
    </w:p>
    <w:p w14:paraId="3C6C966A" w14:textId="33C8BB12" w:rsidR="00CF152E" w:rsidRDefault="00CF152E" w:rsidP="00A315B4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Ministarstvo financija Hercegbosanske županije predviđa </w:t>
      </w:r>
      <w:r w:rsidR="00C06995" w:rsidRPr="00A315B4">
        <w:rPr>
          <w:sz w:val="24"/>
          <w:szCs w:val="24"/>
        </w:rPr>
        <w:t>otplatu kredita u iznosu od 0,</w:t>
      </w:r>
      <w:r w:rsidR="000E2B64">
        <w:rPr>
          <w:sz w:val="24"/>
          <w:szCs w:val="24"/>
        </w:rPr>
        <w:t>26</w:t>
      </w:r>
      <w:r w:rsidR="006B4A2C" w:rsidRPr="00A315B4">
        <w:rPr>
          <w:sz w:val="24"/>
          <w:szCs w:val="24"/>
        </w:rPr>
        <w:t xml:space="preserve"> </w:t>
      </w:r>
      <w:proofErr w:type="spellStart"/>
      <w:r w:rsidR="006B4A2C" w:rsidRPr="00A315B4">
        <w:rPr>
          <w:sz w:val="24"/>
          <w:szCs w:val="24"/>
        </w:rPr>
        <w:t>mil</w:t>
      </w:r>
      <w:proofErr w:type="spellEnd"/>
      <w:r w:rsidR="006B4A2C" w:rsidRPr="00A315B4">
        <w:rPr>
          <w:sz w:val="24"/>
          <w:szCs w:val="24"/>
        </w:rPr>
        <w:t>. KM u 202</w:t>
      </w:r>
      <w:r w:rsidR="000E2B64">
        <w:rPr>
          <w:sz w:val="24"/>
          <w:szCs w:val="24"/>
        </w:rPr>
        <w:t>7</w:t>
      </w:r>
      <w:r w:rsidR="00C06995" w:rsidRPr="00A315B4">
        <w:rPr>
          <w:sz w:val="24"/>
          <w:szCs w:val="24"/>
        </w:rPr>
        <w:t>. godini, 0,</w:t>
      </w:r>
      <w:r w:rsidR="000E2B64">
        <w:rPr>
          <w:sz w:val="24"/>
          <w:szCs w:val="24"/>
        </w:rPr>
        <w:t>26</w:t>
      </w:r>
      <w:r w:rsidR="00C06995" w:rsidRPr="00A315B4">
        <w:rPr>
          <w:sz w:val="24"/>
          <w:szCs w:val="24"/>
        </w:rPr>
        <w:t xml:space="preserve"> </w:t>
      </w:r>
      <w:proofErr w:type="spellStart"/>
      <w:r w:rsidR="00C06995" w:rsidRPr="00A315B4">
        <w:rPr>
          <w:sz w:val="24"/>
          <w:szCs w:val="24"/>
        </w:rPr>
        <w:t>mil</w:t>
      </w:r>
      <w:proofErr w:type="spellEnd"/>
      <w:r w:rsidR="00C06995" w:rsidRPr="00A315B4">
        <w:rPr>
          <w:sz w:val="24"/>
          <w:szCs w:val="24"/>
        </w:rPr>
        <w:t>. KM u 202</w:t>
      </w:r>
      <w:r w:rsidR="000E2B64">
        <w:rPr>
          <w:sz w:val="24"/>
          <w:szCs w:val="24"/>
        </w:rPr>
        <w:t>8</w:t>
      </w:r>
      <w:r w:rsidR="006B4A2C" w:rsidRPr="00A315B4">
        <w:rPr>
          <w:sz w:val="24"/>
          <w:szCs w:val="24"/>
        </w:rPr>
        <w:t>. godini i 0,</w:t>
      </w:r>
      <w:r w:rsidR="000E2B64">
        <w:rPr>
          <w:sz w:val="24"/>
          <w:szCs w:val="24"/>
        </w:rPr>
        <w:t>26</w:t>
      </w:r>
      <w:r w:rsidR="006B4A2C" w:rsidRPr="00A315B4">
        <w:rPr>
          <w:sz w:val="24"/>
          <w:szCs w:val="24"/>
        </w:rPr>
        <w:t xml:space="preserve"> </w:t>
      </w:r>
      <w:proofErr w:type="spellStart"/>
      <w:r w:rsidR="006B4A2C" w:rsidRPr="00A315B4">
        <w:rPr>
          <w:sz w:val="24"/>
          <w:szCs w:val="24"/>
        </w:rPr>
        <w:t>mil</w:t>
      </w:r>
      <w:proofErr w:type="spellEnd"/>
      <w:r w:rsidR="006B4A2C" w:rsidRPr="00A315B4">
        <w:rPr>
          <w:sz w:val="24"/>
          <w:szCs w:val="24"/>
        </w:rPr>
        <w:t>. KM u 202</w:t>
      </w:r>
      <w:r w:rsidR="000E2B64">
        <w:rPr>
          <w:sz w:val="24"/>
          <w:szCs w:val="24"/>
        </w:rPr>
        <w:t>9</w:t>
      </w:r>
      <w:r w:rsidRPr="00A315B4">
        <w:rPr>
          <w:sz w:val="24"/>
          <w:szCs w:val="24"/>
        </w:rPr>
        <w:t xml:space="preserve">. godini. </w:t>
      </w:r>
    </w:p>
    <w:p w14:paraId="2CD33614" w14:textId="77777777" w:rsidR="0086552C" w:rsidRPr="00A315B4" w:rsidRDefault="0086552C" w:rsidP="00A315B4">
      <w:pPr>
        <w:ind w:firstLine="708"/>
        <w:jc w:val="both"/>
        <w:rPr>
          <w:sz w:val="24"/>
          <w:szCs w:val="24"/>
        </w:rPr>
      </w:pPr>
    </w:p>
    <w:p w14:paraId="3DCE6160" w14:textId="0CCF440B" w:rsidR="00CF152E" w:rsidRPr="00337281" w:rsidRDefault="00877702" w:rsidP="00877702">
      <w:pPr>
        <w:pStyle w:val="Opisslike"/>
        <w:rPr>
          <w:sz w:val="20"/>
        </w:rPr>
      </w:pPr>
      <w:bookmarkStart w:id="84" w:name="_Toc106179190"/>
      <w:bookmarkStart w:id="85" w:name="_Toc232407856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8</w:t>
      </w:r>
      <w:r w:rsidR="00D82381">
        <w:fldChar w:fldCharType="end"/>
      </w:r>
      <w:r>
        <w:t xml:space="preserve">. </w:t>
      </w:r>
      <w:r w:rsidR="00CF152E">
        <w:t xml:space="preserve">Primarna fiskalna bilanca Hercegbosanske županije </w:t>
      </w:r>
      <w:r w:rsidR="006B4A2C">
        <w:t>za razdoblje 202</w:t>
      </w:r>
      <w:r w:rsidR="005D62F0">
        <w:t>6</w:t>
      </w:r>
      <w:r w:rsidR="006B4A2C">
        <w:t>.-202</w:t>
      </w:r>
      <w:r w:rsidR="005D62F0">
        <w:t>8</w:t>
      </w:r>
      <w:r w:rsidR="00CF152E">
        <w:t>.g.</w:t>
      </w:r>
      <w:bookmarkEnd w:id="84"/>
      <w:bookmarkEnd w:id="85"/>
      <w:r w:rsidR="00CF152E" w:rsidRPr="00337281">
        <w:rPr>
          <w:sz w:val="20"/>
        </w:rPr>
        <w:t xml:space="preserve"> </w:t>
      </w:r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4006"/>
        <w:gridCol w:w="1972"/>
        <w:gridCol w:w="1972"/>
        <w:gridCol w:w="1973"/>
      </w:tblGrid>
      <w:tr w:rsidR="009130A3" w:rsidRPr="009130A3" w14:paraId="0B10CC54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vMerge w:val="restart"/>
            <w:hideMark/>
          </w:tcPr>
          <w:p w14:paraId="317A7DFC" w14:textId="77777777" w:rsidR="009130A3" w:rsidRPr="009130A3" w:rsidRDefault="009130A3" w:rsidP="009130A3">
            <w:pPr>
              <w:rPr>
                <w:rFonts w:ascii="Arial" w:hAnsi="Arial" w:cs="Arial"/>
                <w:sz w:val="16"/>
                <w:szCs w:val="16"/>
              </w:rPr>
            </w:pPr>
            <w:r w:rsidRPr="009130A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9" w:type="dxa"/>
            <w:gridSpan w:val="3"/>
            <w:hideMark/>
          </w:tcPr>
          <w:p w14:paraId="43400BC8" w14:textId="77777777" w:rsidR="009130A3" w:rsidRPr="004F5C2F" w:rsidRDefault="009130A3" w:rsidP="00913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4F5C2F">
              <w:rPr>
                <w:rFonts w:ascii="Arial" w:hAnsi="Arial" w:cs="Arial"/>
                <w:color w:val="000000" w:themeColor="text1"/>
                <w:sz w:val="20"/>
              </w:rPr>
              <w:t>Prognoza</w:t>
            </w:r>
          </w:p>
        </w:tc>
      </w:tr>
      <w:tr w:rsidR="009130A3" w:rsidRPr="009130A3" w14:paraId="15892E94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vMerge/>
            <w:hideMark/>
          </w:tcPr>
          <w:p w14:paraId="1E7B6FBC" w14:textId="77777777" w:rsidR="009130A3" w:rsidRPr="009130A3" w:rsidRDefault="009130A3" w:rsidP="009130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14:paraId="007A4223" w14:textId="16052222" w:rsidR="009130A3" w:rsidRPr="009130A3" w:rsidRDefault="006B4A2C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4A640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9130A3"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76" w:type="dxa"/>
            <w:hideMark/>
          </w:tcPr>
          <w:p w14:paraId="6D47ED16" w14:textId="0B33F629" w:rsidR="009130A3" w:rsidRPr="009130A3" w:rsidRDefault="006B4A2C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4A640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9130A3"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77" w:type="dxa"/>
            <w:hideMark/>
          </w:tcPr>
          <w:p w14:paraId="7B5F63EB" w14:textId="6E8A9666" w:rsidR="009130A3" w:rsidRPr="009130A3" w:rsidRDefault="006B4A2C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4A640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130A3" w:rsidRPr="009130A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9130A3" w:rsidRPr="009130A3" w14:paraId="0D1ADE78" w14:textId="77777777" w:rsidTr="00F241EB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hideMark/>
          </w:tcPr>
          <w:p w14:paraId="4ACC8F26" w14:textId="77777777" w:rsidR="009130A3" w:rsidRPr="009130A3" w:rsidRDefault="009130A3" w:rsidP="009130A3">
            <w:pPr>
              <w:rPr>
                <w:rFonts w:ascii="Arial" w:hAnsi="Arial" w:cs="Arial"/>
                <w:sz w:val="20"/>
              </w:rPr>
            </w:pPr>
            <w:r w:rsidRPr="009130A3">
              <w:rPr>
                <w:rFonts w:ascii="Arial" w:hAnsi="Arial" w:cs="Arial"/>
                <w:sz w:val="20"/>
              </w:rPr>
              <w:t>PRIMARNA FISKALNA BILANCA (1-2)</w:t>
            </w:r>
          </w:p>
        </w:tc>
        <w:tc>
          <w:tcPr>
            <w:tcW w:w="1876" w:type="dxa"/>
            <w:hideMark/>
          </w:tcPr>
          <w:p w14:paraId="249C852A" w14:textId="27B7BA29" w:rsidR="009130A3" w:rsidRPr="009130A3" w:rsidRDefault="006B4A2C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0,</w:t>
            </w:r>
            <w:r w:rsidR="005D62F0">
              <w:rPr>
                <w:rFonts w:ascii="Arial" w:hAnsi="Arial" w:cs="Arial"/>
                <w:b/>
                <w:bCs/>
                <w:szCs w:val="22"/>
              </w:rPr>
              <w:t>00</w:t>
            </w:r>
          </w:p>
        </w:tc>
        <w:tc>
          <w:tcPr>
            <w:tcW w:w="1876" w:type="dxa"/>
            <w:hideMark/>
          </w:tcPr>
          <w:p w14:paraId="23AD665D" w14:textId="7A57BF5C" w:rsidR="009130A3" w:rsidRPr="009130A3" w:rsidRDefault="006B4A2C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0,</w:t>
            </w:r>
            <w:r w:rsidR="005D62F0">
              <w:rPr>
                <w:rFonts w:ascii="Arial" w:hAnsi="Arial" w:cs="Arial"/>
                <w:b/>
                <w:bCs/>
                <w:szCs w:val="22"/>
              </w:rPr>
              <w:t>00</w:t>
            </w:r>
          </w:p>
        </w:tc>
        <w:tc>
          <w:tcPr>
            <w:tcW w:w="1877" w:type="dxa"/>
            <w:hideMark/>
          </w:tcPr>
          <w:p w14:paraId="4E3CC9E9" w14:textId="3F2D63FB" w:rsidR="009130A3" w:rsidRPr="009130A3" w:rsidRDefault="006B4A2C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0,</w:t>
            </w:r>
            <w:r w:rsidR="005D62F0">
              <w:rPr>
                <w:rFonts w:ascii="Arial" w:hAnsi="Arial" w:cs="Arial"/>
                <w:b/>
                <w:bCs/>
                <w:szCs w:val="22"/>
              </w:rPr>
              <w:t>00</w:t>
            </w:r>
          </w:p>
        </w:tc>
      </w:tr>
      <w:tr w:rsidR="009130A3" w:rsidRPr="009130A3" w14:paraId="4940BA9B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hideMark/>
          </w:tcPr>
          <w:p w14:paraId="5AD54782" w14:textId="77777777" w:rsidR="009130A3" w:rsidRPr="009130A3" w:rsidRDefault="009130A3" w:rsidP="009130A3">
            <w:pPr>
              <w:rPr>
                <w:rFonts w:ascii="Arial" w:hAnsi="Arial" w:cs="Arial"/>
                <w:sz w:val="20"/>
              </w:rPr>
            </w:pPr>
            <w:r w:rsidRPr="009130A3">
              <w:rPr>
                <w:rFonts w:ascii="Arial" w:hAnsi="Arial" w:cs="Arial"/>
                <w:sz w:val="20"/>
              </w:rPr>
              <w:t>1.  Primarni prihodi</w:t>
            </w:r>
          </w:p>
        </w:tc>
        <w:tc>
          <w:tcPr>
            <w:tcW w:w="1876" w:type="dxa"/>
            <w:hideMark/>
          </w:tcPr>
          <w:p w14:paraId="43251C9E" w14:textId="1F014581" w:rsidR="009130A3" w:rsidRPr="009130A3" w:rsidRDefault="004A640F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160,74</w:t>
            </w:r>
          </w:p>
        </w:tc>
        <w:tc>
          <w:tcPr>
            <w:tcW w:w="1876" w:type="dxa"/>
            <w:hideMark/>
          </w:tcPr>
          <w:p w14:paraId="01C7C3CD" w14:textId="32E5E8B9" w:rsidR="009130A3" w:rsidRPr="009130A3" w:rsidRDefault="004A640F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167,79</w:t>
            </w:r>
          </w:p>
        </w:tc>
        <w:tc>
          <w:tcPr>
            <w:tcW w:w="1877" w:type="dxa"/>
            <w:hideMark/>
          </w:tcPr>
          <w:p w14:paraId="67AF4040" w14:textId="48D20264" w:rsidR="009130A3" w:rsidRPr="009130A3" w:rsidRDefault="00F53B13" w:rsidP="00913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4A640F">
              <w:rPr>
                <w:rFonts w:ascii="Arial" w:hAnsi="Arial" w:cs="Arial"/>
                <w:b/>
                <w:bCs/>
                <w:sz w:val="20"/>
              </w:rPr>
              <w:t>76,39</w:t>
            </w:r>
          </w:p>
        </w:tc>
      </w:tr>
      <w:tr w:rsidR="009130A3" w:rsidRPr="009130A3" w14:paraId="428C42B3" w14:textId="77777777" w:rsidTr="00F241EB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1" w:type="dxa"/>
            <w:hideMark/>
          </w:tcPr>
          <w:p w14:paraId="5343B79B" w14:textId="77777777" w:rsidR="009130A3" w:rsidRPr="009130A3" w:rsidRDefault="009130A3" w:rsidP="009130A3">
            <w:pPr>
              <w:rPr>
                <w:rFonts w:ascii="Arial" w:hAnsi="Arial" w:cs="Arial"/>
                <w:sz w:val="20"/>
              </w:rPr>
            </w:pPr>
            <w:r w:rsidRPr="009130A3">
              <w:rPr>
                <w:rFonts w:ascii="Arial" w:hAnsi="Arial" w:cs="Arial"/>
                <w:sz w:val="20"/>
              </w:rPr>
              <w:t>2.  Rashodi i izdatci</w:t>
            </w:r>
          </w:p>
        </w:tc>
        <w:tc>
          <w:tcPr>
            <w:tcW w:w="1876" w:type="dxa"/>
            <w:hideMark/>
          </w:tcPr>
          <w:p w14:paraId="5FA0E75E" w14:textId="163F0D40" w:rsidR="009130A3" w:rsidRDefault="004A640F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160,74</w:t>
            </w:r>
          </w:p>
          <w:p w14:paraId="67E79357" w14:textId="2AAE558D" w:rsidR="00A16706" w:rsidRPr="009130A3" w:rsidRDefault="00A16706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76" w:type="dxa"/>
            <w:hideMark/>
          </w:tcPr>
          <w:p w14:paraId="13E7AB48" w14:textId="6618A7D4" w:rsidR="009130A3" w:rsidRDefault="006B4A2C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4A640F">
              <w:rPr>
                <w:rFonts w:ascii="Arial" w:hAnsi="Arial" w:cs="Arial"/>
                <w:b/>
                <w:bCs/>
                <w:sz w:val="20"/>
              </w:rPr>
              <w:t>67,79</w:t>
            </w:r>
          </w:p>
          <w:p w14:paraId="2F233BBB" w14:textId="77777777" w:rsidR="00D95D3D" w:rsidRDefault="00D95D3D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1284288E" w14:textId="77777777" w:rsidR="00D95D3D" w:rsidRDefault="00D95D3D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  <w:p w14:paraId="3A0C6F3C" w14:textId="5C91772F" w:rsidR="00D95D3D" w:rsidRPr="009130A3" w:rsidRDefault="00D95D3D" w:rsidP="00913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77" w:type="dxa"/>
            <w:hideMark/>
          </w:tcPr>
          <w:p w14:paraId="0A142997" w14:textId="08757C1A" w:rsidR="006B4A2C" w:rsidRPr="009130A3" w:rsidRDefault="00C0586B" w:rsidP="006B4A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4A640F">
              <w:rPr>
                <w:rFonts w:ascii="Arial" w:hAnsi="Arial" w:cs="Arial"/>
                <w:b/>
                <w:bCs/>
                <w:sz w:val="20"/>
              </w:rPr>
              <w:t>76,39</w:t>
            </w:r>
          </w:p>
        </w:tc>
      </w:tr>
    </w:tbl>
    <w:p w14:paraId="19E79363" w14:textId="77777777" w:rsidR="00CF152E" w:rsidRDefault="00CF152E" w:rsidP="00CF152E">
      <w:pPr>
        <w:jc w:val="both"/>
        <w:rPr>
          <w:sz w:val="24"/>
          <w:szCs w:val="24"/>
        </w:rPr>
      </w:pPr>
    </w:p>
    <w:p w14:paraId="640E05F1" w14:textId="77777777" w:rsidR="00CF152E" w:rsidRPr="00A315B4" w:rsidRDefault="00CF152E" w:rsidP="00CF152E">
      <w:pPr>
        <w:ind w:firstLine="708"/>
        <w:jc w:val="both"/>
        <w:rPr>
          <w:rFonts w:cs="Arial"/>
          <w:sz w:val="24"/>
          <w:szCs w:val="24"/>
        </w:rPr>
      </w:pPr>
      <w:r w:rsidRPr="00A315B4">
        <w:rPr>
          <w:sz w:val="24"/>
          <w:szCs w:val="24"/>
        </w:rPr>
        <w:t>Primarna fiskalna bilanca za našu Županiju jednaka je razlici primarnih prihoda te rashoda i izdataka, odnosno jednaka je financiranju što se vidi iz prethodne dvije tablice. Na taj način uravnotežuju se ukupni prihodi i primitci sa ukupnim rashodima i izdatcima.</w:t>
      </w:r>
      <w:r w:rsidRPr="00A315B4">
        <w:rPr>
          <w:rFonts w:cs="Arial"/>
          <w:sz w:val="24"/>
          <w:szCs w:val="24"/>
        </w:rPr>
        <w:t xml:space="preserve"> </w:t>
      </w:r>
    </w:p>
    <w:p w14:paraId="0906EB9C" w14:textId="77777777" w:rsidR="00CF152E" w:rsidRPr="00A315B4" w:rsidRDefault="00CF152E" w:rsidP="00CF152E">
      <w:pPr>
        <w:rPr>
          <w:szCs w:val="22"/>
        </w:rPr>
      </w:pPr>
    </w:p>
    <w:p w14:paraId="69897937" w14:textId="77777777" w:rsidR="00CF152E" w:rsidRDefault="00CF152E" w:rsidP="00CF152E">
      <w:pPr>
        <w:rPr>
          <w:szCs w:val="22"/>
        </w:rPr>
      </w:pPr>
    </w:p>
    <w:p w14:paraId="59FC2000" w14:textId="77777777" w:rsidR="00754CCC" w:rsidRDefault="00754CCC" w:rsidP="00CF152E">
      <w:pPr>
        <w:pStyle w:val="Naslov1"/>
        <w:rPr>
          <w:sz w:val="22"/>
          <w:szCs w:val="22"/>
        </w:rPr>
      </w:pPr>
      <w:bookmarkStart w:id="86" w:name="_Toc191048989"/>
      <w:bookmarkStart w:id="87" w:name="_Toc197340783"/>
      <w:bookmarkStart w:id="88" w:name="_Toc106015344"/>
    </w:p>
    <w:p w14:paraId="386484DB" w14:textId="77777777" w:rsidR="00877702" w:rsidRDefault="00A315B4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2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2"/>
        </w:rPr>
        <w:br w:type="page"/>
      </w:r>
    </w:p>
    <w:p w14:paraId="03498BC5" w14:textId="77777777" w:rsidR="00CF152E" w:rsidRDefault="00CF152E" w:rsidP="00CF152E">
      <w:pPr>
        <w:pStyle w:val="Naslov1"/>
      </w:pPr>
      <w:bookmarkStart w:id="89" w:name="_Toc232407836"/>
      <w:r>
        <w:lastRenderedPageBreak/>
        <w:t>Poglavlje 4:</w:t>
      </w:r>
      <w:bookmarkEnd w:id="86"/>
      <w:r>
        <w:t xml:space="preserve"> Upravljanje potrošnjom javnog sektora</w:t>
      </w:r>
      <w:bookmarkEnd w:id="87"/>
      <w:bookmarkEnd w:id="88"/>
      <w:bookmarkEnd w:id="89"/>
    </w:p>
    <w:p w14:paraId="3783BF9C" w14:textId="77777777" w:rsidR="00CF152E" w:rsidRPr="00482ABE" w:rsidRDefault="00CF152E" w:rsidP="00CF152E"/>
    <w:p w14:paraId="545AA29C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341D0A79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U ovom poglavlju su sažeta ključna pitanja iz oblasti upravljanja resursima javnog sektora i oblasti proračunske reforme u Hercegbosanskoj županiji. Analiza strukture proračuna po ekonomskoj klasifikaciji predstavlja važan element srednjoročnog planiranja i ima za cilj da ukaže na eventualne strukturalne nejednakosti koje se moraju uzeti u obzir pri određivanju prioriteta rashoda i definiranju ograničenja potrošnje za proračunske korisnike.</w:t>
      </w:r>
    </w:p>
    <w:p w14:paraId="59278897" w14:textId="77777777" w:rsidR="00CF152E" w:rsidRDefault="00CF152E" w:rsidP="00CF152E">
      <w:pPr>
        <w:jc w:val="both"/>
        <w:rPr>
          <w:sz w:val="24"/>
          <w:szCs w:val="24"/>
        </w:rPr>
      </w:pPr>
    </w:p>
    <w:p w14:paraId="5CAFF161" w14:textId="77777777" w:rsidR="00AB06DF" w:rsidRPr="00621D74" w:rsidRDefault="00AB06DF" w:rsidP="00CF152E">
      <w:pPr>
        <w:jc w:val="both"/>
        <w:rPr>
          <w:sz w:val="24"/>
          <w:szCs w:val="24"/>
        </w:rPr>
      </w:pPr>
    </w:p>
    <w:p w14:paraId="64CBFEFC" w14:textId="77777777" w:rsidR="00CF152E" w:rsidRDefault="00CF152E" w:rsidP="00CF152E">
      <w:pPr>
        <w:pStyle w:val="Naslov2"/>
      </w:pPr>
      <w:bookmarkStart w:id="90" w:name="_Toc191048990"/>
      <w:bookmarkStart w:id="91" w:name="_Toc197340784"/>
      <w:bookmarkStart w:id="92" w:name="_Toc106015345"/>
      <w:bookmarkStart w:id="93" w:name="_Toc232407837"/>
      <w:r>
        <w:t xml:space="preserve">4.1. </w:t>
      </w:r>
      <w:r w:rsidRPr="00621D74">
        <w:t>Opća struktura i trendovi</w:t>
      </w:r>
      <w:bookmarkEnd w:id="90"/>
      <w:bookmarkEnd w:id="91"/>
      <w:bookmarkEnd w:id="92"/>
      <w:bookmarkEnd w:id="93"/>
    </w:p>
    <w:p w14:paraId="718C9413" w14:textId="77777777" w:rsidR="00386282" w:rsidRPr="00386282" w:rsidRDefault="00386282" w:rsidP="00386282"/>
    <w:p w14:paraId="01020735" w14:textId="77777777" w:rsidR="00CF152E" w:rsidRPr="005F4C96" w:rsidRDefault="00CF152E" w:rsidP="00CF152E"/>
    <w:p w14:paraId="45DB20D2" w14:textId="77777777" w:rsidR="00CF152E" w:rsidRPr="00A315B4" w:rsidRDefault="00CF152E" w:rsidP="002B7412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Ovaj dio sadrži analizu strukture proračuna i preporuke po pitanju plaća i naknada u javnom sektoru, izdataka za materijal i usluge (materijalnih troškova), transfera – potpora, kapitalnih izdataka, otplate duga i financiranje deficita.</w:t>
      </w:r>
    </w:p>
    <w:p w14:paraId="0286E459" w14:textId="56DDB3FE" w:rsidR="00CF152E" w:rsidRPr="00A315B4" w:rsidRDefault="00CF152E" w:rsidP="00CF152E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Prema projekciji rashoda Hercegbosanske županije dajemo pregled stru</w:t>
      </w:r>
      <w:r w:rsidR="00840534" w:rsidRPr="00A315B4">
        <w:rPr>
          <w:sz w:val="24"/>
          <w:szCs w:val="24"/>
        </w:rPr>
        <w:t>kture rashoda i izdataka za 202</w:t>
      </w:r>
      <w:r w:rsidR="00F1118C">
        <w:rPr>
          <w:sz w:val="24"/>
          <w:szCs w:val="24"/>
        </w:rPr>
        <w:t>7</w:t>
      </w:r>
      <w:r w:rsidRPr="00A315B4">
        <w:rPr>
          <w:sz w:val="24"/>
          <w:szCs w:val="24"/>
        </w:rPr>
        <w:t>.</w:t>
      </w:r>
      <w:r w:rsidR="00840534" w:rsidRPr="00A315B4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godinu:</w:t>
      </w:r>
    </w:p>
    <w:p w14:paraId="0BF2D0EC" w14:textId="77777777" w:rsidR="00BA4F5B" w:rsidRPr="00A315B4" w:rsidRDefault="00BA4F5B" w:rsidP="00CF152E">
      <w:pPr>
        <w:jc w:val="both"/>
        <w:rPr>
          <w:sz w:val="24"/>
          <w:szCs w:val="24"/>
        </w:rPr>
      </w:pPr>
    </w:p>
    <w:p w14:paraId="7D45B61D" w14:textId="37F8C35E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Tekuća pričuva              </w:t>
      </w:r>
      <w:r w:rsidR="00314128" w:rsidRPr="00A315B4">
        <w:rPr>
          <w:sz w:val="24"/>
          <w:szCs w:val="24"/>
        </w:rPr>
        <w:t xml:space="preserve">                              </w:t>
      </w:r>
      <w:r w:rsidR="00314128" w:rsidRPr="00A315B4">
        <w:rPr>
          <w:sz w:val="24"/>
          <w:szCs w:val="24"/>
        </w:rPr>
        <w:tab/>
      </w:r>
      <w:r w:rsidR="00314128" w:rsidRPr="00A315B4">
        <w:rPr>
          <w:sz w:val="24"/>
          <w:szCs w:val="24"/>
        </w:rPr>
        <w:tab/>
      </w:r>
      <w:r w:rsidR="00314128" w:rsidRPr="00A315B4">
        <w:rPr>
          <w:sz w:val="24"/>
          <w:szCs w:val="24"/>
        </w:rPr>
        <w:tab/>
      </w:r>
      <w:r w:rsidR="003449DD">
        <w:rPr>
          <w:sz w:val="24"/>
          <w:szCs w:val="24"/>
        </w:rPr>
        <w:t xml:space="preserve">      </w:t>
      </w:r>
      <w:r w:rsidR="00840534" w:rsidRPr="00A315B4">
        <w:rPr>
          <w:sz w:val="24"/>
          <w:szCs w:val="24"/>
        </w:rPr>
        <w:t>600.000,00KM –</w:t>
      </w:r>
      <w:r w:rsidR="00314128" w:rsidRPr="00A315B4">
        <w:rPr>
          <w:sz w:val="24"/>
          <w:szCs w:val="24"/>
        </w:rPr>
        <w:t xml:space="preserve"> </w:t>
      </w:r>
      <w:r w:rsidR="00840534" w:rsidRPr="00A315B4">
        <w:rPr>
          <w:sz w:val="24"/>
          <w:szCs w:val="24"/>
        </w:rPr>
        <w:t>0,</w:t>
      </w:r>
      <w:r w:rsidR="00783EDD">
        <w:rPr>
          <w:sz w:val="24"/>
          <w:szCs w:val="24"/>
        </w:rPr>
        <w:t>37</w:t>
      </w:r>
      <w:r w:rsidRPr="00A315B4">
        <w:rPr>
          <w:sz w:val="24"/>
          <w:szCs w:val="24"/>
        </w:rPr>
        <w:t>%</w:t>
      </w:r>
    </w:p>
    <w:p w14:paraId="76687933" w14:textId="50417E4B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Bruto plaće, naknade i doprinosi  poslodavca     </w:t>
      </w:r>
      <w:r w:rsidR="00314128" w:rsidRPr="00A315B4">
        <w:rPr>
          <w:sz w:val="24"/>
          <w:szCs w:val="24"/>
        </w:rPr>
        <w:tab/>
        <w:t xml:space="preserve">   </w:t>
      </w:r>
      <w:r w:rsidR="002B7412" w:rsidRPr="00A315B4">
        <w:rPr>
          <w:sz w:val="24"/>
          <w:szCs w:val="24"/>
        </w:rPr>
        <w:t xml:space="preserve">   </w:t>
      </w:r>
      <w:r w:rsidR="007311FB">
        <w:rPr>
          <w:sz w:val="24"/>
          <w:szCs w:val="24"/>
        </w:rPr>
        <w:t xml:space="preserve"> </w:t>
      </w:r>
      <w:r w:rsidR="003449DD">
        <w:rPr>
          <w:sz w:val="24"/>
          <w:szCs w:val="24"/>
        </w:rPr>
        <w:t xml:space="preserve"> </w:t>
      </w:r>
      <w:r w:rsidR="007311FB">
        <w:rPr>
          <w:sz w:val="24"/>
          <w:szCs w:val="24"/>
        </w:rPr>
        <w:t xml:space="preserve"> </w:t>
      </w:r>
      <w:r w:rsidR="00051B55">
        <w:rPr>
          <w:sz w:val="24"/>
          <w:szCs w:val="24"/>
        </w:rPr>
        <w:t>100.190</w:t>
      </w:r>
      <w:r w:rsidRPr="00A315B4">
        <w:rPr>
          <w:sz w:val="24"/>
          <w:szCs w:val="24"/>
        </w:rPr>
        <w:t xml:space="preserve">.000,00KM – </w:t>
      </w:r>
      <w:r w:rsidR="00840534" w:rsidRPr="00A315B4">
        <w:rPr>
          <w:sz w:val="24"/>
          <w:szCs w:val="24"/>
        </w:rPr>
        <w:t>6</w:t>
      </w:r>
      <w:r w:rsidR="00783EDD">
        <w:rPr>
          <w:sz w:val="24"/>
          <w:szCs w:val="24"/>
        </w:rPr>
        <w:t>2,33</w:t>
      </w:r>
      <w:r w:rsidRPr="00A315B4">
        <w:rPr>
          <w:sz w:val="24"/>
          <w:szCs w:val="24"/>
        </w:rPr>
        <w:t>%</w:t>
      </w:r>
    </w:p>
    <w:p w14:paraId="20FE8234" w14:textId="1CD5816E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Materijalni troškovi </w:t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  <w:t xml:space="preserve">         </w:t>
      </w:r>
      <w:r w:rsidR="00314128" w:rsidRPr="00A315B4">
        <w:rPr>
          <w:sz w:val="24"/>
          <w:szCs w:val="24"/>
        </w:rPr>
        <w:t xml:space="preserve">        </w:t>
      </w:r>
      <w:r w:rsidR="003449DD">
        <w:rPr>
          <w:sz w:val="24"/>
          <w:szCs w:val="24"/>
        </w:rPr>
        <w:t xml:space="preserve">       </w:t>
      </w:r>
      <w:r w:rsidR="002B7412" w:rsidRPr="00A315B4">
        <w:rPr>
          <w:sz w:val="24"/>
          <w:szCs w:val="24"/>
        </w:rPr>
        <w:t xml:space="preserve"> </w:t>
      </w:r>
      <w:r w:rsidR="007311FB">
        <w:rPr>
          <w:sz w:val="24"/>
          <w:szCs w:val="24"/>
        </w:rPr>
        <w:t>1</w:t>
      </w:r>
      <w:r w:rsidR="00051B55">
        <w:rPr>
          <w:sz w:val="24"/>
          <w:szCs w:val="24"/>
        </w:rPr>
        <w:t>2.</w:t>
      </w:r>
      <w:r w:rsidR="00587805">
        <w:rPr>
          <w:sz w:val="24"/>
          <w:szCs w:val="24"/>
        </w:rPr>
        <w:t>50</w:t>
      </w:r>
      <w:r w:rsidR="00051B55">
        <w:rPr>
          <w:sz w:val="24"/>
          <w:szCs w:val="24"/>
        </w:rPr>
        <w:t>0</w:t>
      </w:r>
      <w:r w:rsidR="007311FB">
        <w:rPr>
          <w:sz w:val="24"/>
          <w:szCs w:val="24"/>
        </w:rPr>
        <w:t>.0</w:t>
      </w:r>
      <w:r w:rsidR="00314128" w:rsidRPr="00A315B4">
        <w:rPr>
          <w:sz w:val="24"/>
          <w:szCs w:val="24"/>
        </w:rPr>
        <w:t>00,00KM –</w:t>
      </w:r>
      <w:r w:rsidR="003449DD">
        <w:rPr>
          <w:sz w:val="24"/>
          <w:szCs w:val="24"/>
        </w:rPr>
        <w:t xml:space="preserve"> </w:t>
      </w:r>
      <w:r w:rsidR="00783EDD">
        <w:rPr>
          <w:sz w:val="24"/>
          <w:szCs w:val="24"/>
        </w:rPr>
        <w:t>7,78</w:t>
      </w:r>
      <w:r w:rsidRPr="00A315B4">
        <w:rPr>
          <w:sz w:val="24"/>
          <w:szCs w:val="24"/>
        </w:rPr>
        <w:t>%</w:t>
      </w:r>
    </w:p>
    <w:p w14:paraId="5ED5D54A" w14:textId="1A17B787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Tekuće potpore</w:t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  <w:t xml:space="preserve">       </w:t>
      </w:r>
      <w:r w:rsidR="00314128" w:rsidRPr="00A315B4">
        <w:rPr>
          <w:sz w:val="24"/>
          <w:szCs w:val="24"/>
        </w:rPr>
        <w:t xml:space="preserve">           </w:t>
      </w:r>
      <w:r w:rsidR="003449DD">
        <w:rPr>
          <w:sz w:val="24"/>
          <w:szCs w:val="24"/>
        </w:rPr>
        <w:t xml:space="preserve">     </w:t>
      </w:r>
      <w:r w:rsidR="007311FB">
        <w:rPr>
          <w:sz w:val="24"/>
          <w:szCs w:val="24"/>
        </w:rPr>
        <w:t>2</w:t>
      </w:r>
      <w:r w:rsidR="00051B55">
        <w:rPr>
          <w:sz w:val="24"/>
          <w:szCs w:val="24"/>
        </w:rPr>
        <w:t>9.</w:t>
      </w:r>
      <w:r w:rsidR="00587805">
        <w:rPr>
          <w:sz w:val="24"/>
          <w:szCs w:val="24"/>
        </w:rPr>
        <w:t>8</w:t>
      </w:r>
      <w:r w:rsidR="00051B55">
        <w:rPr>
          <w:sz w:val="24"/>
          <w:szCs w:val="24"/>
        </w:rPr>
        <w:t>90</w:t>
      </w:r>
      <w:r w:rsidR="007311FB">
        <w:rPr>
          <w:sz w:val="24"/>
          <w:szCs w:val="24"/>
        </w:rPr>
        <w:t>.</w:t>
      </w:r>
      <w:r w:rsidR="00840534" w:rsidRPr="00A315B4">
        <w:rPr>
          <w:sz w:val="24"/>
          <w:szCs w:val="24"/>
        </w:rPr>
        <w:t xml:space="preserve">000,00KM </w:t>
      </w:r>
      <w:r w:rsidR="003449DD">
        <w:rPr>
          <w:sz w:val="24"/>
          <w:szCs w:val="24"/>
        </w:rPr>
        <w:t>--</w:t>
      </w:r>
      <w:r w:rsidR="00840534" w:rsidRPr="00A315B4">
        <w:rPr>
          <w:sz w:val="24"/>
          <w:szCs w:val="24"/>
        </w:rPr>
        <w:t>1</w:t>
      </w:r>
      <w:r w:rsidR="00783EDD">
        <w:rPr>
          <w:sz w:val="24"/>
          <w:szCs w:val="24"/>
        </w:rPr>
        <w:t>8,60</w:t>
      </w:r>
      <w:r w:rsidRPr="00A315B4">
        <w:rPr>
          <w:sz w:val="24"/>
          <w:szCs w:val="24"/>
        </w:rPr>
        <w:t>%</w:t>
      </w:r>
    </w:p>
    <w:p w14:paraId="4C644DE6" w14:textId="1587B416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Kapitalne potpore</w:t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  <w:t xml:space="preserve">            </w:t>
      </w:r>
      <w:r w:rsidR="005A336C" w:rsidRPr="00A315B4">
        <w:rPr>
          <w:sz w:val="24"/>
          <w:szCs w:val="24"/>
        </w:rPr>
        <w:t xml:space="preserve">       </w:t>
      </w:r>
      <w:r w:rsidR="003449DD">
        <w:rPr>
          <w:sz w:val="24"/>
          <w:szCs w:val="24"/>
        </w:rPr>
        <w:t xml:space="preserve">       </w:t>
      </w:r>
      <w:r w:rsidR="005A336C" w:rsidRPr="00A315B4">
        <w:rPr>
          <w:sz w:val="24"/>
          <w:szCs w:val="24"/>
        </w:rPr>
        <w:t xml:space="preserve"> </w:t>
      </w:r>
      <w:r w:rsidR="00840534" w:rsidRPr="00A315B4">
        <w:rPr>
          <w:sz w:val="24"/>
          <w:szCs w:val="24"/>
        </w:rPr>
        <w:t>4.</w:t>
      </w:r>
      <w:r w:rsidR="00051B55">
        <w:rPr>
          <w:sz w:val="24"/>
          <w:szCs w:val="24"/>
        </w:rPr>
        <w:t>40</w:t>
      </w:r>
      <w:r w:rsidR="00840534" w:rsidRPr="00A315B4">
        <w:rPr>
          <w:sz w:val="24"/>
          <w:szCs w:val="24"/>
        </w:rPr>
        <w:t xml:space="preserve">0.000,00KM – </w:t>
      </w:r>
      <w:r w:rsidR="003449DD">
        <w:rPr>
          <w:sz w:val="24"/>
          <w:szCs w:val="24"/>
        </w:rPr>
        <w:t>2,74</w:t>
      </w:r>
      <w:r w:rsidRPr="00A315B4">
        <w:rPr>
          <w:sz w:val="24"/>
          <w:szCs w:val="24"/>
        </w:rPr>
        <w:t>%</w:t>
      </w:r>
    </w:p>
    <w:p w14:paraId="3F0D5E7A" w14:textId="3933B702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Izdatci za kamate</w:t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  <w:t xml:space="preserve"> </w:t>
      </w:r>
      <w:r w:rsidR="002B7412" w:rsidRPr="00A315B4">
        <w:rPr>
          <w:sz w:val="24"/>
          <w:szCs w:val="24"/>
        </w:rPr>
        <w:t xml:space="preserve">            </w:t>
      </w:r>
      <w:r w:rsidR="00314128" w:rsidRPr="00A315B4">
        <w:rPr>
          <w:sz w:val="24"/>
          <w:szCs w:val="24"/>
        </w:rPr>
        <w:t xml:space="preserve"> </w:t>
      </w:r>
      <w:r w:rsidR="003449DD">
        <w:rPr>
          <w:sz w:val="24"/>
          <w:szCs w:val="24"/>
        </w:rPr>
        <w:t xml:space="preserve">      </w:t>
      </w:r>
      <w:r w:rsidR="00051B55">
        <w:rPr>
          <w:sz w:val="24"/>
          <w:szCs w:val="24"/>
        </w:rPr>
        <w:t>2</w:t>
      </w:r>
      <w:r w:rsidR="00314128" w:rsidRPr="00A315B4">
        <w:rPr>
          <w:sz w:val="24"/>
          <w:szCs w:val="24"/>
        </w:rPr>
        <w:t>0.000,00KM – 0,0</w:t>
      </w:r>
      <w:r w:rsidR="003449DD">
        <w:rPr>
          <w:sz w:val="24"/>
          <w:szCs w:val="24"/>
        </w:rPr>
        <w:t>1</w:t>
      </w:r>
      <w:r w:rsidRPr="00A315B4">
        <w:rPr>
          <w:sz w:val="24"/>
          <w:szCs w:val="24"/>
        </w:rPr>
        <w:t>%</w:t>
      </w:r>
    </w:p>
    <w:p w14:paraId="7EEE33B3" w14:textId="0D85BB1D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Kapitalni izdatci</w:t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</w:r>
      <w:r w:rsidRPr="00A315B4">
        <w:rPr>
          <w:sz w:val="24"/>
          <w:szCs w:val="24"/>
        </w:rPr>
        <w:tab/>
        <w:t xml:space="preserve">         </w:t>
      </w:r>
      <w:r w:rsidR="00314128" w:rsidRPr="00A315B4">
        <w:rPr>
          <w:sz w:val="24"/>
          <w:szCs w:val="24"/>
        </w:rPr>
        <w:t xml:space="preserve">          </w:t>
      </w:r>
      <w:r w:rsidR="003449DD">
        <w:rPr>
          <w:sz w:val="24"/>
          <w:szCs w:val="24"/>
        </w:rPr>
        <w:t xml:space="preserve">      </w:t>
      </w:r>
      <w:r w:rsidR="00587805">
        <w:rPr>
          <w:sz w:val="24"/>
          <w:szCs w:val="24"/>
        </w:rPr>
        <w:t>12.880</w:t>
      </w:r>
      <w:r w:rsidR="00840534" w:rsidRPr="00A315B4">
        <w:rPr>
          <w:sz w:val="24"/>
          <w:szCs w:val="24"/>
        </w:rPr>
        <w:t>.000.00KM –</w:t>
      </w:r>
      <w:r w:rsidR="003449DD">
        <w:rPr>
          <w:sz w:val="24"/>
          <w:szCs w:val="24"/>
        </w:rPr>
        <w:t xml:space="preserve"> 8,01</w:t>
      </w:r>
      <w:r w:rsidRPr="00A315B4">
        <w:rPr>
          <w:sz w:val="24"/>
          <w:szCs w:val="24"/>
        </w:rPr>
        <w:t>%</w:t>
      </w:r>
    </w:p>
    <w:p w14:paraId="134261E0" w14:textId="07C4F2B4" w:rsidR="00CF152E" w:rsidRPr="00A315B4" w:rsidRDefault="00CF152E" w:rsidP="00CF152E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A315B4">
        <w:rPr>
          <w:sz w:val="24"/>
          <w:szCs w:val="24"/>
          <w:u w:val="single"/>
        </w:rPr>
        <w:t>Otplata duga</w:t>
      </w:r>
      <w:r w:rsidRPr="00A315B4">
        <w:rPr>
          <w:sz w:val="24"/>
          <w:szCs w:val="24"/>
          <w:u w:val="single"/>
        </w:rPr>
        <w:tab/>
      </w:r>
      <w:r w:rsidRPr="00A315B4">
        <w:rPr>
          <w:sz w:val="24"/>
          <w:szCs w:val="24"/>
          <w:u w:val="single"/>
        </w:rPr>
        <w:tab/>
      </w:r>
      <w:r w:rsidRPr="00A315B4">
        <w:rPr>
          <w:sz w:val="24"/>
          <w:szCs w:val="24"/>
          <w:u w:val="single"/>
        </w:rPr>
        <w:tab/>
        <w:t xml:space="preserve">                                   </w:t>
      </w:r>
      <w:r w:rsidR="002B7412" w:rsidRPr="00A315B4">
        <w:rPr>
          <w:sz w:val="24"/>
          <w:szCs w:val="24"/>
          <w:u w:val="single"/>
        </w:rPr>
        <w:t xml:space="preserve">            </w:t>
      </w:r>
      <w:r w:rsidR="003449DD">
        <w:rPr>
          <w:sz w:val="24"/>
          <w:szCs w:val="24"/>
          <w:u w:val="single"/>
        </w:rPr>
        <w:t xml:space="preserve">       </w:t>
      </w:r>
      <w:r w:rsidR="00587805">
        <w:rPr>
          <w:sz w:val="24"/>
          <w:szCs w:val="24"/>
          <w:u w:val="single"/>
        </w:rPr>
        <w:t>260</w:t>
      </w:r>
      <w:r w:rsidR="00840534" w:rsidRPr="00A315B4">
        <w:rPr>
          <w:sz w:val="24"/>
          <w:szCs w:val="24"/>
          <w:u w:val="single"/>
        </w:rPr>
        <w:t>.000,00KM –0,</w:t>
      </w:r>
      <w:r w:rsidR="003449DD">
        <w:rPr>
          <w:sz w:val="24"/>
          <w:szCs w:val="24"/>
          <w:u w:val="single"/>
        </w:rPr>
        <w:t>16</w:t>
      </w:r>
      <w:r w:rsidRPr="00A315B4">
        <w:rPr>
          <w:sz w:val="24"/>
          <w:szCs w:val="24"/>
          <w:u w:val="single"/>
        </w:rPr>
        <w:t>%</w:t>
      </w:r>
    </w:p>
    <w:p w14:paraId="74B18DFC" w14:textId="2C22715B" w:rsidR="00CF152E" w:rsidRPr="00A315B4" w:rsidRDefault="003449DD" w:rsidP="00CF152E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A336C" w:rsidRPr="00A315B4">
        <w:rPr>
          <w:b/>
          <w:sz w:val="24"/>
          <w:szCs w:val="24"/>
        </w:rPr>
        <w:t>UKUPNO:</w:t>
      </w:r>
      <w:r w:rsidR="005A336C" w:rsidRPr="00A315B4">
        <w:rPr>
          <w:b/>
          <w:sz w:val="24"/>
          <w:szCs w:val="24"/>
        </w:rPr>
        <w:tab/>
      </w:r>
      <w:r w:rsidR="005A336C" w:rsidRPr="00A315B4">
        <w:rPr>
          <w:b/>
          <w:sz w:val="24"/>
          <w:szCs w:val="24"/>
        </w:rPr>
        <w:tab/>
      </w:r>
      <w:r w:rsidR="005A336C" w:rsidRPr="00A315B4">
        <w:rPr>
          <w:b/>
          <w:sz w:val="24"/>
          <w:szCs w:val="24"/>
        </w:rPr>
        <w:tab/>
      </w:r>
      <w:r w:rsidR="005A336C" w:rsidRPr="00A315B4">
        <w:rPr>
          <w:b/>
          <w:sz w:val="24"/>
          <w:szCs w:val="24"/>
        </w:rPr>
        <w:tab/>
      </w:r>
      <w:r w:rsidR="005A336C" w:rsidRPr="00A315B4">
        <w:rPr>
          <w:b/>
          <w:sz w:val="24"/>
          <w:szCs w:val="24"/>
        </w:rPr>
        <w:tab/>
      </w:r>
      <w:r w:rsidR="005A336C" w:rsidRPr="00A315B4">
        <w:rPr>
          <w:b/>
          <w:sz w:val="24"/>
          <w:szCs w:val="24"/>
        </w:rPr>
        <w:tab/>
        <w:t xml:space="preserve">     1</w:t>
      </w:r>
      <w:r w:rsidR="00CC1C15">
        <w:rPr>
          <w:b/>
          <w:sz w:val="24"/>
          <w:szCs w:val="24"/>
        </w:rPr>
        <w:t>60</w:t>
      </w:r>
      <w:r w:rsidR="00AE4E71">
        <w:rPr>
          <w:b/>
          <w:sz w:val="24"/>
          <w:szCs w:val="24"/>
        </w:rPr>
        <w:t>.</w:t>
      </w:r>
      <w:r w:rsidR="000559A7">
        <w:rPr>
          <w:b/>
          <w:sz w:val="24"/>
          <w:szCs w:val="24"/>
        </w:rPr>
        <w:t>740</w:t>
      </w:r>
      <w:r w:rsidR="00AE4E71">
        <w:rPr>
          <w:b/>
          <w:sz w:val="24"/>
          <w:szCs w:val="24"/>
        </w:rPr>
        <w:t>.000</w:t>
      </w:r>
      <w:r w:rsidR="00CF152E" w:rsidRPr="00A315B4">
        <w:rPr>
          <w:b/>
          <w:sz w:val="24"/>
          <w:szCs w:val="24"/>
        </w:rPr>
        <w:t xml:space="preserve">,00KM – </w:t>
      </w:r>
      <w:r>
        <w:rPr>
          <w:b/>
          <w:sz w:val="24"/>
          <w:szCs w:val="24"/>
        </w:rPr>
        <w:t xml:space="preserve"> </w:t>
      </w:r>
      <w:r w:rsidR="00CF152E" w:rsidRPr="00A315B4">
        <w:rPr>
          <w:b/>
          <w:sz w:val="24"/>
          <w:szCs w:val="24"/>
        </w:rPr>
        <w:t>100,00%</w:t>
      </w:r>
    </w:p>
    <w:p w14:paraId="5AA104EA" w14:textId="77777777" w:rsidR="00CF152E" w:rsidRPr="00A315B4" w:rsidRDefault="00CF152E" w:rsidP="00CF152E">
      <w:pPr>
        <w:ind w:left="360"/>
        <w:jc w:val="both"/>
        <w:rPr>
          <w:b/>
          <w:sz w:val="24"/>
          <w:szCs w:val="24"/>
        </w:rPr>
      </w:pPr>
    </w:p>
    <w:p w14:paraId="6E467553" w14:textId="1B9914C8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Kao što se može vidjeti iz prethodnih podataka veliki iznos proračunskih sredstava a</w:t>
      </w:r>
      <w:r w:rsidR="00314128" w:rsidRPr="00A315B4">
        <w:rPr>
          <w:sz w:val="24"/>
          <w:szCs w:val="24"/>
        </w:rPr>
        <w:t>locira se na plaće i naknade (6</w:t>
      </w:r>
      <w:r w:rsidR="003449DD">
        <w:rPr>
          <w:sz w:val="24"/>
          <w:szCs w:val="24"/>
        </w:rPr>
        <w:t>2,33</w:t>
      </w:r>
      <w:r w:rsidRPr="00A315B4">
        <w:rPr>
          <w:sz w:val="24"/>
          <w:szCs w:val="24"/>
        </w:rPr>
        <w:t>%) u odnosu na ukupan iznos proračunskih sredstava. U narednom trogodišnjem razdoblju udio bruto plaća i naknada ostati će na istoj razini. Također, iz gore navedenih podataka evidentna je nedovoljna alokacija sredstav</w:t>
      </w:r>
      <w:r w:rsidR="00314128" w:rsidRPr="00A315B4">
        <w:rPr>
          <w:sz w:val="24"/>
          <w:szCs w:val="24"/>
        </w:rPr>
        <w:t>a na kapitalne investicije (</w:t>
      </w:r>
      <w:r w:rsidR="003449DD">
        <w:rPr>
          <w:sz w:val="24"/>
          <w:szCs w:val="24"/>
        </w:rPr>
        <w:t>2,74</w:t>
      </w:r>
      <w:r w:rsidR="005A336C" w:rsidRPr="00A315B4">
        <w:rPr>
          <w:sz w:val="24"/>
          <w:szCs w:val="24"/>
        </w:rPr>
        <w:t>%), koje u odnosu na izvršenje 20</w:t>
      </w:r>
      <w:r w:rsidR="00314128" w:rsidRPr="00A315B4">
        <w:rPr>
          <w:sz w:val="24"/>
          <w:szCs w:val="24"/>
        </w:rPr>
        <w:t>2</w:t>
      </w:r>
      <w:r w:rsidR="003449DD">
        <w:rPr>
          <w:sz w:val="24"/>
          <w:szCs w:val="24"/>
        </w:rPr>
        <w:t>5</w:t>
      </w:r>
      <w:r w:rsidR="005A336C" w:rsidRPr="00A315B4">
        <w:rPr>
          <w:sz w:val="24"/>
          <w:szCs w:val="24"/>
        </w:rPr>
        <w:t>. godine</w:t>
      </w:r>
      <w:r w:rsidRPr="00A315B4">
        <w:rPr>
          <w:sz w:val="24"/>
          <w:szCs w:val="24"/>
        </w:rPr>
        <w:t xml:space="preserve"> imaju tendenciju rasta.</w:t>
      </w:r>
    </w:p>
    <w:p w14:paraId="200FD5B5" w14:textId="77777777" w:rsidR="00CF152E" w:rsidRPr="00314128" w:rsidRDefault="00CF152E" w:rsidP="00CF152E">
      <w:pPr>
        <w:jc w:val="both"/>
        <w:rPr>
          <w:b/>
          <w:color w:val="FF0000"/>
          <w:sz w:val="24"/>
          <w:szCs w:val="24"/>
        </w:rPr>
      </w:pPr>
    </w:p>
    <w:p w14:paraId="1A86519B" w14:textId="6D8A31EE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Prema svim dosadašnjim pokazateljima ovo bi bila gornja, blago optimistična veličina Proračuna</w:t>
      </w:r>
      <w:r w:rsidR="00314128" w:rsidRPr="00A315B4">
        <w:rPr>
          <w:sz w:val="24"/>
          <w:szCs w:val="24"/>
        </w:rPr>
        <w:t xml:space="preserve"> Hercegbosanske županije za 202</w:t>
      </w:r>
      <w:r w:rsidR="003449DD">
        <w:rPr>
          <w:sz w:val="24"/>
          <w:szCs w:val="24"/>
        </w:rPr>
        <w:t>7</w:t>
      </w:r>
      <w:r w:rsidRPr="00A315B4">
        <w:rPr>
          <w:sz w:val="24"/>
          <w:szCs w:val="24"/>
        </w:rPr>
        <w:t xml:space="preserve">. godinu. </w:t>
      </w:r>
    </w:p>
    <w:p w14:paraId="2DF55A69" w14:textId="77777777" w:rsidR="00CF152E" w:rsidRPr="00A315B4" w:rsidRDefault="00CF152E" w:rsidP="00CF152E">
      <w:pPr>
        <w:ind w:left="360"/>
        <w:jc w:val="both"/>
        <w:rPr>
          <w:sz w:val="24"/>
          <w:szCs w:val="24"/>
        </w:rPr>
      </w:pPr>
    </w:p>
    <w:p w14:paraId="389A4357" w14:textId="49F19B32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U gore navedenim podatcima određena je krajnja visina svih rashoda i izd</w:t>
      </w:r>
      <w:r w:rsidR="005F7423" w:rsidRPr="00A315B4">
        <w:rPr>
          <w:sz w:val="24"/>
          <w:szCs w:val="24"/>
        </w:rPr>
        <w:t>ataka rađe</w:t>
      </w:r>
      <w:r w:rsidR="00314128" w:rsidRPr="00A315B4">
        <w:rPr>
          <w:sz w:val="24"/>
          <w:szCs w:val="24"/>
        </w:rPr>
        <w:t>nih za projekciju 202</w:t>
      </w:r>
      <w:r w:rsidR="003449DD">
        <w:rPr>
          <w:sz w:val="24"/>
          <w:szCs w:val="24"/>
        </w:rPr>
        <w:t>7</w:t>
      </w:r>
      <w:r w:rsidRPr="00A315B4">
        <w:rPr>
          <w:sz w:val="24"/>
          <w:szCs w:val="24"/>
        </w:rPr>
        <w:t>. godine.</w:t>
      </w:r>
    </w:p>
    <w:p w14:paraId="1116283D" w14:textId="77777777" w:rsidR="00CF152E" w:rsidRPr="00A315B4" w:rsidRDefault="00CF152E" w:rsidP="00CF152E">
      <w:pPr>
        <w:ind w:left="360"/>
        <w:jc w:val="both"/>
        <w:rPr>
          <w:rFonts w:ascii="Arial" w:hAnsi="Arial" w:cs="Arial"/>
          <w:szCs w:val="22"/>
        </w:rPr>
      </w:pPr>
    </w:p>
    <w:p w14:paraId="1A127884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51A616F3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6BCB4E8D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71917519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74464647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4702F7EC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57EDE263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5C12DF02" w14:textId="77777777" w:rsidR="00CF152E" w:rsidRDefault="00CF152E" w:rsidP="00CF152E">
      <w:pPr>
        <w:ind w:left="360"/>
        <w:jc w:val="both"/>
        <w:rPr>
          <w:rFonts w:ascii="Arial" w:hAnsi="Arial" w:cs="Arial"/>
          <w:color w:val="000000"/>
          <w:szCs w:val="22"/>
        </w:rPr>
      </w:pPr>
    </w:p>
    <w:p w14:paraId="5B0230E8" w14:textId="77777777" w:rsidR="00CF152E" w:rsidRDefault="00CF152E" w:rsidP="00CF152E">
      <w:pPr>
        <w:ind w:left="360"/>
        <w:jc w:val="both"/>
        <w:rPr>
          <w:rFonts w:ascii="Arial" w:hAnsi="Arial" w:cs="Arial"/>
          <w:b/>
          <w:color w:val="000000"/>
          <w:szCs w:val="22"/>
        </w:rPr>
      </w:pPr>
    </w:p>
    <w:p w14:paraId="7E1B24AC" w14:textId="77777777" w:rsidR="00754CCC" w:rsidRDefault="00754CCC" w:rsidP="00CF152E">
      <w:pPr>
        <w:ind w:left="360"/>
        <w:jc w:val="both"/>
        <w:rPr>
          <w:rFonts w:ascii="Arial" w:hAnsi="Arial" w:cs="Arial"/>
          <w:b/>
          <w:color w:val="000000"/>
          <w:szCs w:val="22"/>
        </w:rPr>
      </w:pPr>
    </w:p>
    <w:p w14:paraId="725AC601" w14:textId="77777777" w:rsidR="00CF152E" w:rsidRDefault="00CF152E" w:rsidP="00CF152E">
      <w:pPr>
        <w:jc w:val="both"/>
        <w:rPr>
          <w:rFonts w:ascii="Arial" w:hAnsi="Arial" w:cs="Arial"/>
          <w:b/>
          <w:color w:val="000000"/>
          <w:szCs w:val="22"/>
        </w:rPr>
      </w:pPr>
    </w:p>
    <w:p w14:paraId="1F6B0761" w14:textId="35AA4BF3" w:rsidR="00CF152E" w:rsidRPr="0060523D" w:rsidRDefault="00BD19AE" w:rsidP="00BD19AE">
      <w:pPr>
        <w:pStyle w:val="Opisslike"/>
      </w:pPr>
      <w:bookmarkStart w:id="94" w:name="_Toc106179202"/>
      <w:bookmarkStart w:id="95" w:name="_Toc232407868"/>
      <w:r>
        <w:t xml:space="preserve">Grafikon </w:t>
      </w:r>
      <w:r w:rsidR="00DA558B">
        <w:fldChar w:fldCharType="begin"/>
      </w:r>
      <w:r w:rsidR="00DA558B">
        <w:instrText xml:space="preserve"> SEQ Grafikon \* ARABIC </w:instrText>
      </w:r>
      <w:r w:rsidR="00DA558B">
        <w:fldChar w:fldCharType="separate"/>
      </w:r>
      <w:r w:rsidR="00A419B0">
        <w:t>1</w:t>
      </w:r>
      <w:r w:rsidR="00DA558B">
        <w:fldChar w:fldCharType="end"/>
      </w:r>
      <w:r>
        <w:t xml:space="preserve">. </w:t>
      </w:r>
      <w:r w:rsidR="00CF152E" w:rsidRPr="009C5507">
        <w:t xml:space="preserve"> Planirana struktura potrošnje</w:t>
      </w:r>
      <w:r w:rsidR="00CB7569">
        <w:t xml:space="preserve"> HBŽ-e</w:t>
      </w:r>
      <w:r w:rsidR="00314128">
        <w:t xml:space="preserve"> za 202</w:t>
      </w:r>
      <w:r w:rsidR="00CC1C15">
        <w:t>7</w:t>
      </w:r>
      <w:r w:rsidR="00CF152E" w:rsidRPr="009C5507">
        <w:t>. g. (iskazano u % ukupnog proračuna)</w:t>
      </w:r>
      <w:bookmarkEnd w:id="94"/>
      <w:bookmarkEnd w:id="95"/>
    </w:p>
    <w:p w14:paraId="6806E72F" w14:textId="77777777" w:rsidR="00CF152E" w:rsidRDefault="00CF152E" w:rsidP="00CF152E">
      <w:pPr>
        <w:rPr>
          <w:rFonts w:ascii="Arial" w:hAnsi="Arial" w:cs="Arial"/>
          <w:b/>
          <w:sz w:val="20"/>
        </w:rPr>
      </w:pPr>
    </w:p>
    <w:p w14:paraId="6BDFD2D5" w14:textId="77777777" w:rsidR="00CF152E" w:rsidRPr="0093657F" w:rsidRDefault="000D3172" w:rsidP="00CF152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hr-HR"/>
        </w:rPr>
        <w:drawing>
          <wp:inline distT="0" distB="0" distL="0" distR="0" wp14:anchorId="705FDB5C" wp14:editId="2B546002">
            <wp:extent cx="5486400" cy="320040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A830A4" w14:textId="77777777" w:rsidR="00CF152E" w:rsidRDefault="00CF152E" w:rsidP="00CF152E">
      <w:pPr>
        <w:rPr>
          <w:rFonts w:ascii="Arial" w:hAnsi="Arial" w:cs="Arial"/>
          <w:sz w:val="20"/>
        </w:rPr>
      </w:pPr>
    </w:p>
    <w:p w14:paraId="435EAF69" w14:textId="77777777" w:rsidR="0060523D" w:rsidRDefault="0060523D" w:rsidP="00CB7569">
      <w:pPr>
        <w:jc w:val="both"/>
        <w:rPr>
          <w:sz w:val="24"/>
          <w:szCs w:val="24"/>
        </w:rPr>
      </w:pPr>
    </w:p>
    <w:p w14:paraId="227C32F3" w14:textId="0BB0AB5F" w:rsidR="00CF152E" w:rsidRPr="00A315B4" w:rsidRDefault="00CF152E" w:rsidP="00CB7569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Ova projekcija rashoda i izdataka je osnova za planiranje proračuna </w:t>
      </w:r>
      <w:r w:rsidR="00314128" w:rsidRPr="00A315B4">
        <w:rPr>
          <w:sz w:val="24"/>
          <w:szCs w:val="24"/>
        </w:rPr>
        <w:t>za 202</w:t>
      </w:r>
      <w:r w:rsidR="003449DD">
        <w:rPr>
          <w:sz w:val="24"/>
          <w:szCs w:val="24"/>
        </w:rPr>
        <w:t>7</w:t>
      </w:r>
      <w:r w:rsidRPr="00A315B4">
        <w:rPr>
          <w:sz w:val="24"/>
          <w:szCs w:val="24"/>
        </w:rPr>
        <w:t>.godinu.</w:t>
      </w:r>
    </w:p>
    <w:p w14:paraId="11BB6C06" w14:textId="77777777" w:rsidR="00CF152E" w:rsidRPr="00A315B4" w:rsidRDefault="00CF152E" w:rsidP="00CB7569">
      <w:pPr>
        <w:jc w:val="both"/>
        <w:rPr>
          <w:sz w:val="24"/>
          <w:szCs w:val="24"/>
        </w:rPr>
      </w:pPr>
    </w:p>
    <w:p w14:paraId="5E2BCA31" w14:textId="63F24C90" w:rsidR="00CF152E" w:rsidRPr="00A315B4" w:rsidRDefault="00CF152E" w:rsidP="00CB7569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Značajan iznos proračunskih sredstava u Hercegbosanskoj županiji još uvijek se </w:t>
      </w:r>
      <w:r w:rsidR="00314128" w:rsidRPr="00A315B4">
        <w:rPr>
          <w:sz w:val="24"/>
          <w:szCs w:val="24"/>
        </w:rPr>
        <w:t>alocira  na plaće i naknade – 6</w:t>
      </w:r>
      <w:r w:rsidR="002C1E8B">
        <w:rPr>
          <w:sz w:val="24"/>
          <w:szCs w:val="24"/>
        </w:rPr>
        <w:t>2,33</w:t>
      </w:r>
      <w:r w:rsidRPr="00A315B4">
        <w:rPr>
          <w:sz w:val="24"/>
          <w:szCs w:val="24"/>
        </w:rPr>
        <w:t xml:space="preserve">%, a alokacija proračunskih sredstava na materijalne troškove u granicama je proračuna iz prethodnog razdoblja. Transferi-potpore (tekuće) su veće u </w:t>
      </w:r>
      <w:r w:rsidR="00314128" w:rsidRPr="00A315B4">
        <w:rPr>
          <w:sz w:val="24"/>
          <w:szCs w:val="24"/>
        </w:rPr>
        <w:t>odnosu na plan proračuna za 202</w:t>
      </w:r>
      <w:r w:rsidR="002C1E8B">
        <w:rPr>
          <w:sz w:val="24"/>
          <w:szCs w:val="24"/>
        </w:rPr>
        <w:t>6</w:t>
      </w:r>
      <w:r w:rsidRPr="00A315B4">
        <w:rPr>
          <w:sz w:val="24"/>
          <w:szCs w:val="24"/>
        </w:rPr>
        <w:t>. godinu ,dok su kapitalne potpore također veće odnosu na prethodnu godinu.</w:t>
      </w:r>
    </w:p>
    <w:p w14:paraId="50F8937D" w14:textId="77777777" w:rsidR="00CF152E" w:rsidRPr="00A315B4" w:rsidRDefault="00CF152E" w:rsidP="00CB7569">
      <w:pPr>
        <w:jc w:val="both"/>
        <w:rPr>
          <w:sz w:val="24"/>
          <w:szCs w:val="24"/>
        </w:rPr>
      </w:pPr>
    </w:p>
    <w:p w14:paraId="6B3F0C82" w14:textId="49E4BB6E" w:rsidR="00CF152E" w:rsidRPr="00A315B4" w:rsidRDefault="00CF152E" w:rsidP="00CB7569">
      <w:pPr>
        <w:jc w:val="both"/>
        <w:rPr>
          <w:sz w:val="24"/>
          <w:szCs w:val="24"/>
        </w:rPr>
      </w:pPr>
      <w:r w:rsidRPr="00A315B4">
        <w:rPr>
          <w:sz w:val="24"/>
          <w:szCs w:val="24"/>
        </w:rPr>
        <w:t>Alokacija proračunskih sredstava za o</w:t>
      </w:r>
      <w:r w:rsidR="00314128" w:rsidRPr="00A315B4">
        <w:rPr>
          <w:sz w:val="24"/>
          <w:szCs w:val="24"/>
        </w:rPr>
        <w:t>tplatu duga je na razini od 0,</w:t>
      </w:r>
      <w:r w:rsidR="002C1E8B">
        <w:rPr>
          <w:sz w:val="24"/>
          <w:szCs w:val="24"/>
        </w:rPr>
        <w:t>16</w:t>
      </w:r>
      <w:r w:rsidRPr="00A315B4">
        <w:rPr>
          <w:sz w:val="24"/>
          <w:szCs w:val="24"/>
        </w:rPr>
        <w:t>% od ukupnih rashoda i izdataka.</w:t>
      </w:r>
    </w:p>
    <w:p w14:paraId="6CCFB8DB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77F39D78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57ED04CC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3ADDD7DB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BAECCEA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2BF81D7A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88F9D85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89AED1A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1A86ECF8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453D967F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66C36D03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7239F4FD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34787324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0BE5EED8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0F0881E1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546B4B0F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332B72BD" w14:textId="77777777" w:rsidR="0060523D" w:rsidRDefault="0060523D" w:rsidP="00CF152E">
      <w:pPr>
        <w:jc w:val="both"/>
        <w:rPr>
          <w:rFonts w:ascii="Arial" w:hAnsi="Arial" w:cs="Arial"/>
          <w:szCs w:val="22"/>
        </w:rPr>
      </w:pPr>
    </w:p>
    <w:p w14:paraId="24DD92E8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3598461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7C385C9E" w14:textId="4AFB01A7" w:rsidR="00CF152E" w:rsidRDefault="00BD19AE" w:rsidP="00BD19AE">
      <w:pPr>
        <w:pStyle w:val="Opisslike"/>
      </w:pPr>
      <w:bookmarkStart w:id="96" w:name="_Toc106179203"/>
      <w:bookmarkStart w:id="97" w:name="_Toc232407869"/>
      <w:r>
        <w:t xml:space="preserve">Grafikon </w:t>
      </w:r>
      <w:r w:rsidR="00DA558B">
        <w:fldChar w:fldCharType="begin"/>
      </w:r>
      <w:r w:rsidR="00DA558B">
        <w:instrText xml:space="preserve"> SEQ Grafikon \* ARABIC </w:instrText>
      </w:r>
      <w:r w:rsidR="00DA558B">
        <w:fldChar w:fldCharType="separate"/>
      </w:r>
      <w:r w:rsidR="00A419B0">
        <w:t>2</w:t>
      </w:r>
      <w:r w:rsidR="00DA558B">
        <w:fldChar w:fldCharType="end"/>
      </w:r>
      <w:r>
        <w:t xml:space="preserve">. </w:t>
      </w:r>
      <w:r w:rsidR="00CF152E" w:rsidRPr="009C5507">
        <w:t>Trend strukture potrošnje</w:t>
      </w:r>
      <w:r w:rsidR="00314128">
        <w:t xml:space="preserve"> HBŽ-e za razdoblje 202</w:t>
      </w:r>
      <w:r w:rsidR="00F87CF4">
        <w:t>6</w:t>
      </w:r>
      <w:r w:rsidR="00314128">
        <w:t>.-2027</w:t>
      </w:r>
      <w:r w:rsidR="00CB7569">
        <w:t>. godine</w:t>
      </w:r>
      <w:r w:rsidR="00CF152E" w:rsidRPr="009C5507">
        <w:t xml:space="preserve"> (% ukupnog proračuna)</w:t>
      </w:r>
      <w:bookmarkEnd w:id="96"/>
      <w:bookmarkEnd w:id="97"/>
    </w:p>
    <w:p w14:paraId="1946225F" w14:textId="77777777" w:rsidR="00CF152E" w:rsidRPr="009C5507" w:rsidRDefault="00CF152E" w:rsidP="00CF152E">
      <w:pPr>
        <w:rPr>
          <w:lang w:val="bs-Latn-BA"/>
        </w:rPr>
      </w:pPr>
    </w:p>
    <w:p w14:paraId="32A14B7D" w14:textId="77777777" w:rsidR="00CF152E" w:rsidRDefault="00CF152E" w:rsidP="007774E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hr-HR"/>
        </w:rPr>
        <w:drawing>
          <wp:inline distT="0" distB="0" distL="0" distR="0" wp14:anchorId="4E40F691" wp14:editId="02F70C52">
            <wp:extent cx="6286500" cy="6505575"/>
            <wp:effectExtent l="0" t="0" r="0" b="0"/>
            <wp:docPr id="9" name="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D9BDFE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6C5AB354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6E9E99AB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557A3493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4C3FC431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45566F01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1FED6616" w14:textId="77777777" w:rsidR="00CF152E" w:rsidRDefault="00CF152E" w:rsidP="00CF152E">
      <w:pPr>
        <w:jc w:val="center"/>
        <w:rPr>
          <w:rFonts w:ascii="Arial" w:hAnsi="Arial" w:cs="Arial"/>
          <w:sz w:val="20"/>
        </w:rPr>
      </w:pPr>
    </w:p>
    <w:p w14:paraId="717222F8" w14:textId="77777777" w:rsidR="00CF152E" w:rsidRDefault="00CF152E" w:rsidP="00754CCC">
      <w:pPr>
        <w:rPr>
          <w:rFonts w:ascii="Arial" w:hAnsi="Arial" w:cs="Arial"/>
          <w:sz w:val="20"/>
        </w:rPr>
      </w:pPr>
    </w:p>
    <w:p w14:paraId="42B48126" w14:textId="77777777" w:rsidR="00754CCC" w:rsidRDefault="00754CCC" w:rsidP="00754CCC">
      <w:pPr>
        <w:rPr>
          <w:rFonts w:ascii="Arial" w:hAnsi="Arial" w:cs="Arial"/>
          <w:sz w:val="20"/>
        </w:rPr>
      </w:pPr>
    </w:p>
    <w:p w14:paraId="21CB6ECA" w14:textId="77777777" w:rsidR="00754CCC" w:rsidRDefault="00754CCC" w:rsidP="00754CCC">
      <w:pPr>
        <w:rPr>
          <w:rFonts w:ascii="Arial" w:hAnsi="Arial" w:cs="Arial"/>
          <w:sz w:val="20"/>
        </w:rPr>
      </w:pPr>
    </w:p>
    <w:p w14:paraId="14660903" w14:textId="77777777" w:rsidR="00754CCC" w:rsidRDefault="00754CCC" w:rsidP="00754CCC">
      <w:pPr>
        <w:rPr>
          <w:rFonts w:ascii="Arial" w:hAnsi="Arial" w:cs="Arial"/>
          <w:sz w:val="20"/>
        </w:rPr>
      </w:pPr>
    </w:p>
    <w:p w14:paraId="29747276" w14:textId="77777777" w:rsidR="00CF152E" w:rsidRDefault="00CF152E" w:rsidP="00CF152E">
      <w:pPr>
        <w:pStyle w:val="Naslov3"/>
      </w:pPr>
      <w:bookmarkStart w:id="98" w:name="_Toc129414346"/>
      <w:bookmarkStart w:id="99" w:name="_Toc190228430"/>
      <w:bookmarkStart w:id="100" w:name="_Toc191048991"/>
      <w:bookmarkStart w:id="101" w:name="_Toc197340785"/>
      <w:bookmarkStart w:id="102" w:name="_Toc106015346"/>
      <w:bookmarkStart w:id="103" w:name="_Toc232407838"/>
      <w:r>
        <w:lastRenderedPageBreak/>
        <w:t xml:space="preserve">4.1.1. </w:t>
      </w:r>
      <w:r w:rsidRPr="00621D74">
        <w:t>Plaće i naknade u javnom sektoru</w:t>
      </w:r>
      <w:bookmarkEnd w:id="98"/>
      <w:bookmarkEnd w:id="99"/>
      <w:bookmarkEnd w:id="100"/>
      <w:bookmarkEnd w:id="101"/>
      <w:bookmarkEnd w:id="102"/>
      <w:bookmarkEnd w:id="103"/>
    </w:p>
    <w:p w14:paraId="7357DF72" w14:textId="77777777" w:rsidR="00CF152E" w:rsidRPr="005F4C96" w:rsidRDefault="00CF152E" w:rsidP="00CF152E"/>
    <w:p w14:paraId="0D241CAA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U ovom dijelu je dana analiza rashoda po osnovu ekonomskih kategorija plaća i naknada. Osim toga, ovaj odjeljak bi trebao sadržavati podatke o strukturalnim posljedicama broja uposlenih i razina plaća i naknada koje se financiraju iz županijskog Proračuna. </w:t>
      </w:r>
    </w:p>
    <w:p w14:paraId="3D6C7029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0417BCE6" w14:textId="6884AC58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Očekuje se da će ukupn</w:t>
      </w:r>
      <w:r w:rsidR="0045436E" w:rsidRPr="00A315B4">
        <w:rPr>
          <w:sz w:val="24"/>
          <w:szCs w:val="24"/>
        </w:rPr>
        <w:t>a očekivana potrošnja na plaća, naknada i doprinosa</w:t>
      </w:r>
      <w:r w:rsidRPr="00A315B4">
        <w:rPr>
          <w:sz w:val="24"/>
          <w:szCs w:val="24"/>
        </w:rPr>
        <w:t xml:space="preserve"> u javnom sektoru Hercegbosanske</w:t>
      </w:r>
      <w:r w:rsidR="0089441D" w:rsidRPr="00A315B4">
        <w:rPr>
          <w:sz w:val="24"/>
          <w:szCs w:val="24"/>
        </w:rPr>
        <w:t xml:space="preserve"> županije iznositi 6</w:t>
      </w:r>
      <w:r w:rsidR="00F74465">
        <w:rPr>
          <w:sz w:val="24"/>
          <w:szCs w:val="24"/>
        </w:rPr>
        <w:t>2,33</w:t>
      </w:r>
      <w:r w:rsidR="0089441D" w:rsidRPr="00A315B4">
        <w:rPr>
          <w:sz w:val="24"/>
          <w:szCs w:val="24"/>
        </w:rPr>
        <w:t>% u 202</w:t>
      </w:r>
      <w:r w:rsidR="00F74465">
        <w:rPr>
          <w:sz w:val="24"/>
          <w:szCs w:val="24"/>
        </w:rPr>
        <w:t>7</w:t>
      </w:r>
      <w:r w:rsidRPr="00A315B4">
        <w:rPr>
          <w:sz w:val="24"/>
          <w:szCs w:val="24"/>
        </w:rPr>
        <w:t>.g., što je konstantno na razini udjela u ukupnim rashodima proračuna iz prethodnih godina.</w:t>
      </w:r>
    </w:p>
    <w:p w14:paraId="1DB67B87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7CADB7D1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Skrećemo pozornost da pozicija ukupne plaće, naknade i doprinosi, prema Udruženju za jačanje javnih financija-PKF, predstavlja ukupna primanja uposlenika u Županiji. Dakle, to su primanja djelatnika: za topli obrok, prijevoz, regres, naknade za slučaj smrti, jubilarne nagrade i ostalo. Iz tog razloga je visoka razina iskazane prosječne bruto plaće. </w:t>
      </w:r>
    </w:p>
    <w:p w14:paraId="2F71BB99" w14:textId="77777777" w:rsidR="00CF152E" w:rsidRDefault="00CF152E" w:rsidP="00CF152E">
      <w:pPr>
        <w:ind w:firstLine="708"/>
        <w:jc w:val="both"/>
        <w:rPr>
          <w:sz w:val="24"/>
          <w:szCs w:val="24"/>
        </w:rPr>
      </w:pPr>
    </w:p>
    <w:p w14:paraId="669F4207" w14:textId="77777777" w:rsidR="00166DE5" w:rsidRPr="00A315B4" w:rsidRDefault="00166DE5" w:rsidP="00CF152E">
      <w:pPr>
        <w:ind w:firstLine="708"/>
        <w:jc w:val="both"/>
        <w:rPr>
          <w:sz w:val="24"/>
          <w:szCs w:val="24"/>
        </w:rPr>
      </w:pPr>
    </w:p>
    <w:p w14:paraId="39369AFF" w14:textId="7672755F" w:rsidR="00CF152E" w:rsidRPr="007424CE" w:rsidRDefault="00BF71D9" w:rsidP="00BF71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F152E" w:rsidRPr="00A315B4">
        <w:rPr>
          <w:sz w:val="24"/>
          <w:szCs w:val="24"/>
        </w:rPr>
        <w:t xml:space="preserve">ruto plaća, naknade i doprinosi </w:t>
      </w:r>
      <w:r w:rsidR="0089441D" w:rsidRPr="00A315B4">
        <w:rPr>
          <w:sz w:val="24"/>
          <w:szCs w:val="24"/>
        </w:rPr>
        <w:t>u javnom sektoru Županije u 202</w:t>
      </w:r>
      <w:r w:rsidR="00C92D7B">
        <w:rPr>
          <w:sz w:val="24"/>
          <w:szCs w:val="24"/>
        </w:rPr>
        <w:t>5</w:t>
      </w:r>
      <w:r w:rsidR="0089441D" w:rsidRPr="00A315B4">
        <w:rPr>
          <w:sz w:val="24"/>
          <w:szCs w:val="24"/>
        </w:rPr>
        <w:t xml:space="preserve">. godini iznosi </w:t>
      </w:r>
      <w:r>
        <w:rPr>
          <w:sz w:val="24"/>
          <w:szCs w:val="24"/>
        </w:rPr>
        <w:t xml:space="preserve">58.96 </w:t>
      </w:r>
      <w:proofErr w:type="spellStart"/>
      <w:r>
        <w:rPr>
          <w:sz w:val="24"/>
          <w:szCs w:val="24"/>
        </w:rPr>
        <w:t>mil</w:t>
      </w:r>
      <w:proofErr w:type="spellEnd"/>
      <w:r>
        <w:rPr>
          <w:sz w:val="24"/>
          <w:szCs w:val="24"/>
        </w:rPr>
        <w:t>.</w:t>
      </w:r>
      <w:r w:rsidR="0089441D" w:rsidRPr="00A315B4">
        <w:rPr>
          <w:sz w:val="24"/>
          <w:szCs w:val="24"/>
        </w:rPr>
        <w:t xml:space="preserve"> KM. Očekuje se u 202</w:t>
      </w:r>
      <w:r w:rsidR="00C92D7B">
        <w:rPr>
          <w:sz w:val="24"/>
          <w:szCs w:val="24"/>
        </w:rPr>
        <w:t>6</w:t>
      </w:r>
      <w:r w:rsidR="00CF152E" w:rsidRPr="00A315B4">
        <w:rPr>
          <w:sz w:val="24"/>
          <w:szCs w:val="24"/>
        </w:rPr>
        <w:t>. godini</w:t>
      </w:r>
      <w:r>
        <w:rPr>
          <w:sz w:val="24"/>
          <w:szCs w:val="24"/>
        </w:rPr>
        <w:t xml:space="preserve"> 65,56 </w:t>
      </w:r>
      <w:proofErr w:type="spellStart"/>
      <w:r>
        <w:rPr>
          <w:sz w:val="24"/>
          <w:szCs w:val="24"/>
        </w:rPr>
        <w:t>mil</w:t>
      </w:r>
      <w:proofErr w:type="spellEnd"/>
      <w:r>
        <w:rPr>
          <w:sz w:val="24"/>
          <w:szCs w:val="24"/>
        </w:rPr>
        <w:t xml:space="preserve">. </w:t>
      </w:r>
      <w:r w:rsidR="00D018B8" w:rsidRPr="00A315B4">
        <w:rPr>
          <w:sz w:val="24"/>
          <w:szCs w:val="24"/>
        </w:rPr>
        <w:t>KM</w:t>
      </w:r>
      <w:r w:rsidR="00CF152E" w:rsidRPr="008328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67,89 </w:t>
      </w:r>
      <w:proofErr w:type="spellStart"/>
      <w:r>
        <w:rPr>
          <w:sz w:val="24"/>
          <w:szCs w:val="24"/>
        </w:rPr>
        <w:t>mil</w:t>
      </w:r>
      <w:proofErr w:type="spellEnd"/>
      <w:r w:rsidR="008328EE" w:rsidRPr="008328EE">
        <w:rPr>
          <w:sz w:val="24"/>
          <w:szCs w:val="24"/>
        </w:rPr>
        <w:t xml:space="preserve"> KM u 202</w:t>
      </w:r>
      <w:r w:rsidR="00C92D7B">
        <w:rPr>
          <w:sz w:val="24"/>
          <w:szCs w:val="24"/>
        </w:rPr>
        <w:t>7</w:t>
      </w:r>
      <w:r w:rsidR="00CF152E" w:rsidRPr="008328EE">
        <w:rPr>
          <w:sz w:val="24"/>
          <w:szCs w:val="24"/>
        </w:rPr>
        <w:t xml:space="preserve">., </w:t>
      </w:r>
      <w:r w:rsidR="0069667C">
        <w:rPr>
          <w:sz w:val="24"/>
          <w:szCs w:val="24"/>
        </w:rPr>
        <w:t xml:space="preserve">73,41 </w:t>
      </w:r>
      <w:proofErr w:type="spellStart"/>
      <w:r w:rsidR="0069667C">
        <w:rPr>
          <w:sz w:val="24"/>
          <w:szCs w:val="24"/>
        </w:rPr>
        <w:t>mil</w:t>
      </w:r>
      <w:proofErr w:type="spellEnd"/>
      <w:r w:rsidR="008328EE" w:rsidRPr="008328EE">
        <w:rPr>
          <w:sz w:val="24"/>
          <w:szCs w:val="24"/>
        </w:rPr>
        <w:t xml:space="preserve"> KM u 202</w:t>
      </w:r>
      <w:r w:rsidR="00C92D7B">
        <w:rPr>
          <w:sz w:val="24"/>
          <w:szCs w:val="24"/>
        </w:rPr>
        <w:t>8</w:t>
      </w:r>
      <w:r w:rsidR="00CF152E" w:rsidRPr="008328EE">
        <w:rPr>
          <w:sz w:val="24"/>
          <w:szCs w:val="24"/>
        </w:rPr>
        <w:t xml:space="preserve">. godini i </w:t>
      </w:r>
      <w:r w:rsidR="0069667C">
        <w:rPr>
          <w:sz w:val="24"/>
          <w:szCs w:val="24"/>
        </w:rPr>
        <w:t xml:space="preserve">77,40 </w:t>
      </w:r>
      <w:proofErr w:type="spellStart"/>
      <w:r w:rsidR="0069667C">
        <w:rPr>
          <w:sz w:val="24"/>
          <w:szCs w:val="24"/>
        </w:rPr>
        <w:t>mil</w:t>
      </w:r>
      <w:proofErr w:type="spellEnd"/>
      <w:r w:rsidR="0069667C">
        <w:rPr>
          <w:sz w:val="24"/>
          <w:szCs w:val="24"/>
        </w:rPr>
        <w:t>.</w:t>
      </w:r>
      <w:r w:rsidR="007424CE" w:rsidRPr="008328EE">
        <w:rPr>
          <w:sz w:val="24"/>
          <w:szCs w:val="24"/>
        </w:rPr>
        <w:t xml:space="preserve"> KM</w:t>
      </w:r>
      <w:r w:rsidR="008328EE" w:rsidRPr="008328EE">
        <w:rPr>
          <w:sz w:val="24"/>
          <w:szCs w:val="24"/>
        </w:rPr>
        <w:t xml:space="preserve"> u 202</w:t>
      </w:r>
      <w:r w:rsidR="00C92D7B">
        <w:rPr>
          <w:sz w:val="24"/>
          <w:szCs w:val="24"/>
        </w:rPr>
        <w:t>9</w:t>
      </w:r>
      <w:r w:rsidR="00CF152E" w:rsidRPr="008328EE">
        <w:rPr>
          <w:sz w:val="24"/>
          <w:szCs w:val="24"/>
        </w:rPr>
        <w:t>. godini. Više informac</w:t>
      </w:r>
      <w:r w:rsidR="00E12708" w:rsidRPr="008328EE">
        <w:rPr>
          <w:sz w:val="24"/>
          <w:szCs w:val="24"/>
        </w:rPr>
        <w:t>ija slijedi u t</w:t>
      </w:r>
      <w:r w:rsidR="00CF152E" w:rsidRPr="008328EE">
        <w:rPr>
          <w:sz w:val="24"/>
          <w:szCs w:val="24"/>
        </w:rPr>
        <w:t>ablici.</w:t>
      </w:r>
    </w:p>
    <w:p w14:paraId="7EE50E3C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34601FB0" w14:textId="7D98DCC6" w:rsidR="00CF152E" w:rsidRPr="00337281" w:rsidRDefault="00877702" w:rsidP="00877702">
      <w:pPr>
        <w:pStyle w:val="Opisslike"/>
      </w:pPr>
      <w:bookmarkStart w:id="104" w:name="_Toc106179191"/>
      <w:bookmarkStart w:id="105" w:name="_Toc232407857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9</w:t>
      </w:r>
      <w:r w:rsidR="00D82381">
        <w:fldChar w:fldCharType="end"/>
      </w:r>
      <w:r>
        <w:t xml:space="preserve">. </w:t>
      </w:r>
      <w:r w:rsidR="00CF152E" w:rsidRPr="00337281">
        <w:t>Plaće i naknade i broj uposlenih u Hercegbosanskoj županiji</w:t>
      </w:r>
      <w:bookmarkEnd w:id="104"/>
      <w:bookmarkEnd w:id="105"/>
      <w:r w:rsidR="00CF152E" w:rsidRPr="00337281">
        <w:t xml:space="preserve"> </w:t>
      </w:r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4996"/>
        <w:gridCol w:w="1168"/>
        <w:gridCol w:w="945"/>
        <w:gridCol w:w="938"/>
        <w:gridCol w:w="938"/>
        <w:gridCol w:w="938"/>
      </w:tblGrid>
      <w:tr w:rsidR="00B9221F" w:rsidRPr="00B9221F" w14:paraId="25F02CC9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hideMark/>
          </w:tcPr>
          <w:p w14:paraId="66AC8192" w14:textId="77777777" w:rsidR="00B9221F" w:rsidRPr="00B9221F" w:rsidRDefault="00B9221F" w:rsidP="00B9221F">
            <w:pPr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78" w:type="dxa"/>
            <w:hideMark/>
          </w:tcPr>
          <w:p w14:paraId="02F3A7B1" w14:textId="77777777" w:rsidR="00B9221F" w:rsidRPr="004F5C2F" w:rsidRDefault="00B9221F" w:rsidP="00B92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4F5C2F">
              <w:rPr>
                <w:rFonts w:ascii="Arial" w:hAnsi="Arial" w:cs="Arial"/>
                <w:color w:val="000000" w:themeColor="text1"/>
                <w:sz w:val="20"/>
              </w:rPr>
              <w:t>Izvršenje</w:t>
            </w:r>
          </w:p>
        </w:tc>
        <w:tc>
          <w:tcPr>
            <w:tcW w:w="872" w:type="dxa"/>
            <w:hideMark/>
          </w:tcPr>
          <w:p w14:paraId="5874E91F" w14:textId="77777777" w:rsidR="00B9221F" w:rsidRPr="004F5C2F" w:rsidRDefault="00B9221F" w:rsidP="00B92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4F5C2F">
              <w:rPr>
                <w:rFonts w:ascii="Arial" w:hAnsi="Arial" w:cs="Arial"/>
                <w:color w:val="000000" w:themeColor="text1"/>
                <w:sz w:val="20"/>
              </w:rPr>
              <w:t>Plan</w:t>
            </w:r>
          </w:p>
        </w:tc>
        <w:tc>
          <w:tcPr>
            <w:tcW w:w="2598" w:type="dxa"/>
            <w:gridSpan w:val="3"/>
            <w:hideMark/>
          </w:tcPr>
          <w:p w14:paraId="18203078" w14:textId="77777777" w:rsidR="00B9221F" w:rsidRPr="004F5C2F" w:rsidRDefault="00B9221F" w:rsidP="00B922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</w:rPr>
            </w:pPr>
            <w:r w:rsidRPr="004F5C2F">
              <w:rPr>
                <w:rFonts w:ascii="Arial" w:hAnsi="Arial" w:cs="Arial"/>
                <w:color w:val="000000" w:themeColor="text1"/>
                <w:sz w:val="20"/>
              </w:rPr>
              <w:t>Projekcije</w:t>
            </w:r>
          </w:p>
        </w:tc>
      </w:tr>
      <w:tr w:rsidR="00B9221F" w:rsidRPr="00B9221F" w14:paraId="7FFAB897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hideMark/>
          </w:tcPr>
          <w:p w14:paraId="09F2CF8C" w14:textId="77777777" w:rsidR="00B9221F" w:rsidRPr="00B9221F" w:rsidRDefault="00B9221F" w:rsidP="00B9221F">
            <w:pPr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14:paraId="4310EE00" w14:textId="08DB8410" w:rsidR="00B9221F" w:rsidRPr="003E2DE3" w:rsidRDefault="0089441D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D848A7">
              <w:rPr>
                <w:rFonts w:ascii="Arial" w:hAnsi="Arial" w:cs="Arial"/>
                <w:b/>
                <w:sz w:val="20"/>
              </w:rPr>
              <w:t>5</w:t>
            </w:r>
            <w:r w:rsidR="00B9221F" w:rsidRPr="003E2DE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72" w:type="dxa"/>
            <w:vAlign w:val="center"/>
            <w:hideMark/>
          </w:tcPr>
          <w:p w14:paraId="7B873C0E" w14:textId="2FAB0F73" w:rsidR="00B9221F" w:rsidRPr="003E2DE3" w:rsidRDefault="0089441D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D848A7">
              <w:rPr>
                <w:rFonts w:ascii="Arial" w:hAnsi="Arial" w:cs="Arial"/>
                <w:b/>
                <w:sz w:val="20"/>
              </w:rPr>
              <w:t>6</w:t>
            </w:r>
            <w:r w:rsidR="00B9221F" w:rsidRPr="003E2DE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66" w:type="dxa"/>
            <w:vAlign w:val="center"/>
            <w:hideMark/>
          </w:tcPr>
          <w:p w14:paraId="0E17DEEC" w14:textId="54472A6F" w:rsidR="00B9221F" w:rsidRPr="003E2DE3" w:rsidRDefault="0089441D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D848A7">
              <w:rPr>
                <w:rFonts w:ascii="Arial" w:hAnsi="Arial" w:cs="Arial"/>
                <w:b/>
                <w:sz w:val="20"/>
              </w:rPr>
              <w:t>7</w:t>
            </w:r>
            <w:r w:rsidR="00B9221F" w:rsidRPr="003E2DE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66" w:type="dxa"/>
            <w:vAlign w:val="center"/>
            <w:hideMark/>
          </w:tcPr>
          <w:p w14:paraId="44CFC4B2" w14:textId="5FD1316A" w:rsidR="00B9221F" w:rsidRPr="003E2DE3" w:rsidRDefault="0089441D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D848A7">
              <w:rPr>
                <w:rFonts w:ascii="Arial" w:hAnsi="Arial" w:cs="Arial"/>
                <w:b/>
                <w:sz w:val="20"/>
              </w:rPr>
              <w:t>8</w:t>
            </w:r>
            <w:r w:rsidR="00B9221F" w:rsidRPr="003E2DE3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866" w:type="dxa"/>
            <w:vAlign w:val="center"/>
            <w:hideMark/>
          </w:tcPr>
          <w:p w14:paraId="71B9CD02" w14:textId="73FBABB5" w:rsidR="00B9221F" w:rsidRPr="003E2DE3" w:rsidRDefault="0089441D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</w:t>
            </w:r>
            <w:r w:rsidR="00D848A7">
              <w:rPr>
                <w:rFonts w:ascii="Arial" w:hAnsi="Arial" w:cs="Arial"/>
                <w:b/>
                <w:sz w:val="20"/>
              </w:rPr>
              <w:t>9</w:t>
            </w:r>
            <w:r w:rsidR="00B9221F" w:rsidRPr="003E2DE3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B9221F" w:rsidRPr="00B9221F" w14:paraId="642BA2AD" w14:textId="77777777" w:rsidTr="00F241EB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hideMark/>
          </w:tcPr>
          <w:p w14:paraId="5088643A" w14:textId="77777777" w:rsidR="00B9221F" w:rsidRPr="00B9221F" w:rsidRDefault="00B9221F" w:rsidP="00B9221F">
            <w:pPr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pacing w:val="-4"/>
                <w:sz w:val="20"/>
              </w:rPr>
              <w:t xml:space="preserve">Ukupno plaće, naknade i doprinosi u </w:t>
            </w:r>
            <w:proofErr w:type="spellStart"/>
            <w:r w:rsidRPr="00B9221F">
              <w:rPr>
                <w:rFonts w:ascii="Arial" w:hAnsi="Arial" w:cs="Arial"/>
                <w:spacing w:val="-4"/>
                <w:sz w:val="20"/>
              </w:rPr>
              <w:t>mil</w:t>
            </w:r>
            <w:proofErr w:type="spellEnd"/>
            <w:r w:rsidRPr="00B9221F">
              <w:rPr>
                <w:rFonts w:ascii="Arial" w:hAnsi="Arial" w:cs="Arial"/>
                <w:spacing w:val="-4"/>
                <w:sz w:val="20"/>
              </w:rPr>
              <w:t>. KM</w:t>
            </w:r>
          </w:p>
        </w:tc>
        <w:tc>
          <w:tcPr>
            <w:tcW w:w="1078" w:type="dxa"/>
            <w:vAlign w:val="center"/>
            <w:hideMark/>
          </w:tcPr>
          <w:p w14:paraId="1B79EA27" w14:textId="224388A0" w:rsidR="00B9221F" w:rsidRPr="00B9221F" w:rsidRDefault="00C92D7B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85,39</w:t>
            </w:r>
          </w:p>
        </w:tc>
        <w:tc>
          <w:tcPr>
            <w:tcW w:w="872" w:type="dxa"/>
            <w:vAlign w:val="center"/>
            <w:hideMark/>
          </w:tcPr>
          <w:p w14:paraId="2F188EEB" w14:textId="5BECB5D0" w:rsidR="00B9221F" w:rsidRPr="00B9221F" w:rsidRDefault="00C92D7B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96,55</w:t>
            </w:r>
          </w:p>
        </w:tc>
        <w:tc>
          <w:tcPr>
            <w:tcW w:w="866" w:type="dxa"/>
            <w:vAlign w:val="center"/>
            <w:hideMark/>
          </w:tcPr>
          <w:p w14:paraId="5C2FA26A" w14:textId="286DDEEC" w:rsidR="00B9221F" w:rsidRPr="00B9221F" w:rsidRDefault="00BA6DAD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100,61</w:t>
            </w:r>
          </w:p>
        </w:tc>
        <w:tc>
          <w:tcPr>
            <w:tcW w:w="866" w:type="dxa"/>
            <w:vAlign w:val="center"/>
            <w:hideMark/>
          </w:tcPr>
          <w:p w14:paraId="2A769C91" w14:textId="10348E71" w:rsidR="00B9221F" w:rsidRPr="00B9221F" w:rsidRDefault="00BA6DAD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104,20</w:t>
            </w:r>
          </w:p>
        </w:tc>
        <w:tc>
          <w:tcPr>
            <w:tcW w:w="866" w:type="dxa"/>
            <w:vAlign w:val="center"/>
            <w:hideMark/>
          </w:tcPr>
          <w:p w14:paraId="23613B46" w14:textId="7602EC8E" w:rsidR="00B9221F" w:rsidRPr="00B9221F" w:rsidRDefault="00BF4A66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BA6DAD">
              <w:rPr>
                <w:rFonts w:ascii="Arial" w:hAnsi="Arial" w:cs="Arial"/>
                <w:sz w:val="20"/>
              </w:rPr>
              <w:t>8,19</w:t>
            </w:r>
          </w:p>
        </w:tc>
      </w:tr>
      <w:tr w:rsidR="00B9221F" w:rsidRPr="00B9221F" w14:paraId="0DAEE089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hideMark/>
          </w:tcPr>
          <w:p w14:paraId="790CB42A" w14:textId="77777777" w:rsidR="00B9221F" w:rsidRPr="00B9221F" w:rsidRDefault="00B9221F" w:rsidP="00B9221F">
            <w:pPr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pacing w:val="-4"/>
                <w:sz w:val="20"/>
              </w:rPr>
              <w:t>Ukupni broj zaposlenih u javnom sektoru županije</w:t>
            </w:r>
          </w:p>
        </w:tc>
        <w:tc>
          <w:tcPr>
            <w:tcW w:w="1078" w:type="dxa"/>
            <w:vAlign w:val="center"/>
            <w:hideMark/>
          </w:tcPr>
          <w:p w14:paraId="7768AFFB" w14:textId="090B4740" w:rsidR="00B9221F" w:rsidRPr="00B9221F" w:rsidRDefault="00B9221F" w:rsidP="00894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z w:val="20"/>
              </w:rPr>
              <w:t>2</w:t>
            </w:r>
            <w:r w:rsidR="0032605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72" w:type="dxa"/>
            <w:vAlign w:val="center"/>
            <w:hideMark/>
          </w:tcPr>
          <w:p w14:paraId="063432CA" w14:textId="39487F5B" w:rsidR="00B9221F" w:rsidRPr="00B9221F" w:rsidRDefault="00B9221F" w:rsidP="008944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z w:val="20"/>
              </w:rPr>
              <w:t>2</w:t>
            </w:r>
            <w:r w:rsidR="00166DE5">
              <w:rPr>
                <w:rFonts w:ascii="Arial" w:hAnsi="Arial" w:cs="Arial"/>
                <w:sz w:val="20"/>
              </w:rPr>
              <w:t>2</w:t>
            </w:r>
            <w:r w:rsidR="00D848A7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866" w:type="dxa"/>
            <w:vAlign w:val="center"/>
            <w:hideMark/>
          </w:tcPr>
          <w:p w14:paraId="1B8D1393" w14:textId="35C3EC8C" w:rsidR="00B9221F" w:rsidRPr="00B9221F" w:rsidRDefault="00225D1F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87E77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866" w:type="dxa"/>
            <w:vAlign w:val="center"/>
            <w:hideMark/>
          </w:tcPr>
          <w:p w14:paraId="0E34BDFB" w14:textId="4257D7B4" w:rsidR="00B9221F" w:rsidRPr="00B9221F" w:rsidRDefault="008328EE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225D1F">
              <w:rPr>
                <w:rFonts w:ascii="Arial" w:hAnsi="Arial" w:cs="Arial"/>
                <w:sz w:val="20"/>
              </w:rPr>
              <w:t>2</w:t>
            </w:r>
            <w:r w:rsidR="00387E77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866" w:type="dxa"/>
            <w:vAlign w:val="center"/>
            <w:hideMark/>
          </w:tcPr>
          <w:p w14:paraId="1868F5EA" w14:textId="1AD1A982" w:rsidR="00B9221F" w:rsidRPr="00B9221F" w:rsidRDefault="008328EE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87E77">
              <w:rPr>
                <w:rFonts w:ascii="Arial" w:hAnsi="Arial" w:cs="Arial"/>
                <w:sz w:val="20"/>
              </w:rPr>
              <w:t>460</w:t>
            </w:r>
          </w:p>
        </w:tc>
      </w:tr>
      <w:tr w:rsidR="00B9221F" w:rsidRPr="00B9221F" w14:paraId="5B527DD1" w14:textId="77777777" w:rsidTr="00F241EB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  <w:hideMark/>
          </w:tcPr>
          <w:p w14:paraId="08E8A909" w14:textId="77777777" w:rsidR="00B9221F" w:rsidRPr="00B9221F" w:rsidRDefault="00B9221F" w:rsidP="00B9221F">
            <w:pPr>
              <w:rPr>
                <w:rFonts w:ascii="Arial" w:hAnsi="Arial" w:cs="Arial"/>
                <w:sz w:val="20"/>
              </w:rPr>
            </w:pPr>
            <w:r w:rsidRPr="00B9221F">
              <w:rPr>
                <w:rFonts w:ascii="Arial" w:hAnsi="Arial" w:cs="Arial"/>
                <w:spacing w:val="-4"/>
                <w:sz w:val="20"/>
              </w:rPr>
              <w:t>Prosječna bruto plaća i naknada KM</w:t>
            </w:r>
          </w:p>
        </w:tc>
        <w:tc>
          <w:tcPr>
            <w:tcW w:w="1078" w:type="dxa"/>
            <w:vAlign w:val="center"/>
            <w:hideMark/>
          </w:tcPr>
          <w:p w14:paraId="60A979C3" w14:textId="56A68E87" w:rsidR="00B9221F" w:rsidRPr="00B9221F" w:rsidRDefault="0089441D" w:rsidP="00894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C92D7B">
              <w:rPr>
                <w:rFonts w:ascii="Arial" w:hAnsi="Arial" w:cs="Arial"/>
                <w:sz w:val="20"/>
              </w:rPr>
              <w:t>8.222</w:t>
            </w:r>
          </w:p>
        </w:tc>
        <w:tc>
          <w:tcPr>
            <w:tcW w:w="872" w:type="dxa"/>
            <w:vAlign w:val="center"/>
            <w:hideMark/>
          </w:tcPr>
          <w:p w14:paraId="60B11038" w14:textId="3D93559A" w:rsidR="00B9221F" w:rsidRPr="00B9221F" w:rsidRDefault="00387E77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42.988</w:t>
            </w:r>
          </w:p>
        </w:tc>
        <w:tc>
          <w:tcPr>
            <w:tcW w:w="866" w:type="dxa"/>
            <w:vAlign w:val="center"/>
            <w:hideMark/>
          </w:tcPr>
          <w:p w14:paraId="03C82125" w14:textId="51CEC171" w:rsidR="00B9221F" w:rsidRPr="00B9221F" w:rsidRDefault="00225D1F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87E77">
              <w:rPr>
                <w:rFonts w:ascii="Arial" w:hAnsi="Arial" w:cs="Arial"/>
                <w:sz w:val="20"/>
              </w:rPr>
              <w:t>4.224</w:t>
            </w:r>
          </w:p>
        </w:tc>
        <w:tc>
          <w:tcPr>
            <w:tcW w:w="866" w:type="dxa"/>
            <w:vAlign w:val="center"/>
            <w:hideMark/>
          </w:tcPr>
          <w:p w14:paraId="2FAC3207" w14:textId="26B297B2" w:rsidR="00B9221F" w:rsidRPr="00B9221F" w:rsidRDefault="00BF4A66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87E77">
              <w:rPr>
                <w:rFonts w:ascii="Arial" w:hAnsi="Arial" w:cs="Arial"/>
                <w:sz w:val="20"/>
              </w:rPr>
              <w:t>5.621</w:t>
            </w:r>
          </w:p>
        </w:tc>
        <w:tc>
          <w:tcPr>
            <w:tcW w:w="866" w:type="dxa"/>
            <w:vAlign w:val="center"/>
            <w:hideMark/>
          </w:tcPr>
          <w:p w14:paraId="7C08091C" w14:textId="639B9CF5" w:rsidR="00B9221F" w:rsidRPr="00B9221F" w:rsidRDefault="00BF4A66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87E77">
              <w:rPr>
                <w:rFonts w:ascii="Arial" w:hAnsi="Arial" w:cs="Arial"/>
                <w:sz w:val="20"/>
              </w:rPr>
              <w:t>3.979</w:t>
            </w:r>
          </w:p>
        </w:tc>
      </w:tr>
    </w:tbl>
    <w:p w14:paraId="06B1A481" w14:textId="77777777" w:rsidR="00CF152E" w:rsidRPr="005E19A4" w:rsidRDefault="00CF152E" w:rsidP="00CF152E">
      <w:pPr>
        <w:jc w:val="both"/>
        <w:rPr>
          <w:rFonts w:ascii="Arial" w:hAnsi="Arial" w:cs="Arial"/>
          <w:sz w:val="20"/>
        </w:rPr>
      </w:pPr>
    </w:p>
    <w:p w14:paraId="680099B7" w14:textId="71B03962" w:rsidR="00CF152E" w:rsidRPr="00621D7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Prema uputama udruženja PKF i Međunarodnog monetarnog fonda u ukupne plaće uključuju se naknade koje djelatnici primaju i doprinosi te smo to sve stavili u kolonu ukupnih primanja uposlenih u Županiji. Ukupan broj uposlenih djelatnika u ovoj tablici je broj uposlenih koji se financira iz Proračuna Hercegbosanske </w:t>
      </w:r>
      <w:r w:rsidR="00B9221F" w:rsidRPr="00A315B4">
        <w:rPr>
          <w:sz w:val="24"/>
          <w:szCs w:val="24"/>
        </w:rPr>
        <w:t>županije. Broj djelatnika u 202</w:t>
      </w:r>
      <w:r w:rsidR="00C92D7B">
        <w:rPr>
          <w:sz w:val="24"/>
          <w:szCs w:val="24"/>
        </w:rPr>
        <w:t>5</w:t>
      </w:r>
      <w:r w:rsidRPr="00A315B4">
        <w:rPr>
          <w:sz w:val="24"/>
          <w:szCs w:val="24"/>
        </w:rPr>
        <w:t>. godini jednak je stvarno uposlenom broju djelatnika na kraju te godine</w:t>
      </w:r>
      <w:r w:rsidR="0089441D" w:rsidRPr="00A315B4">
        <w:rPr>
          <w:sz w:val="24"/>
          <w:szCs w:val="24"/>
        </w:rPr>
        <w:t>, a broj uposlenih u 202</w:t>
      </w:r>
      <w:r w:rsidR="00C92D7B">
        <w:rPr>
          <w:sz w:val="24"/>
          <w:szCs w:val="24"/>
        </w:rPr>
        <w:t>6</w:t>
      </w:r>
      <w:r w:rsidRPr="00A315B4">
        <w:rPr>
          <w:sz w:val="24"/>
          <w:szCs w:val="24"/>
        </w:rPr>
        <w:t>. urađen je na</w:t>
      </w:r>
      <w:r w:rsidR="0089441D" w:rsidRPr="00A315B4">
        <w:rPr>
          <w:sz w:val="24"/>
          <w:szCs w:val="24"/>
        </w:rPr>
        <w:t xml:space="preserve"> temelju plana proračuna za 202</w:t>
      </w:r>
      <w:r w:rsidR="00C92D7B">
        <w:rPr>
          <w:sz w:val="24"/>
          <w:szCs w:val="24"/>
        </w:rPr>
        <w:t>6</w:t>
      </w:r>
      <w:r w:rsidR="0089441D" w:rsidRPr="00A315B4">
        <w:rPr>
          <w:sz w:val="24"/>
          <w:szCs w:val="24"/>
        </w:rPr>
        <w:t>. godinu</w:t>
      </w:r>
      <w:r w:rsidR="0089441D" w:rsidRPr="008328EE">
        <w:rPr>
          <w:sz w:val="24"/>
          <w:szCs w:val="24"/>
        </w:rPr>
        <w:t xml:space="preserve">, </w:t>
      </w:r>
      <w:r w:rsidR="003301FF">
        <w:rPr>
          <w:sz w:val="24"/>
          <w:szCs w:val="24"/>
        </w:rPr>
        <w:t>b</w:t>
      </w:r>
      <w:r w:rsidR="0089441D" w:rsidRPr="008328EE">
        <w:rPr>
          <w:sz w:val="24"/>
          <w:szCs w:val="24"/>
        </w:rPr>
        <w:t>roj uposlenih u 202</w:t>
      </w:r>
      <w:r w:rsidR="00C92D7B">
        <w:rPr>
          <w:sz w:val="24"/>
          <w:szCs w:val="24"/>
        </w:rPr>
        <w:t>7</w:t>
      </w:r>
      <w:r w:rsidR="0089441D" w:rsidRPr="008328EE">
        <w:rPr>
          <w:sz w:val="24"/>
          <w:szCs w:val="24"/>
        </w:rPr>
        <w:t>. godini, 202</w:t>
      </w:r>
      <w:r w:rsidR="00C92D7B">
        <w:rPr>
          <w:sz w:val="24"/>
          <w:szCs w:val="24"/>
        </w:rPr>
        <w:t>8</w:t>
      </w:r>
      <w:r w:rsidR="0089441D" w:rsidRPr="008328EE">
        <w:rPr>
          <w:sz w:val="24"/>
          <w:szCs w:val="24"/>
        </w:rPr>
        <w:t>. i 202</w:t>
      </w:r>
      <w:r w:rsidR="00C92D7B">
        <w:rPr>
          <w:sz w:val="24"/>
          <w:szCs w:val="24"/>
        </w:rPr>
        <w:t>9</w:t>
      </w:r>
      <w:r w:rsidRPr="008328EE">
        <w:rPr>
          <w:sz w:val="24"/>
          <w:szCs w:val="24"/>
        </w:rPr>
        <w:t xml:space="preserve">. godini utvrđen je na bazi </w:t>
      </w:r>
      <w:r w:rsidR="008328EE" w:rsidRPr="008328EE">
        <w:rPr>
          <w:sz w:val="24"/>
          <w:szCs w:val="24"/>
        </w:rPr>
        <w:t>dostavljenih instrukcija od strane proračunskih korisnika.</w:t>
      </w:r>
    </w:p>
    <w:p w14:paraId="7A15EBCD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36040E03" w14:textId="77777777" w:rsidR="00CF152E" w:rsidRDefault="00CF152E" w:rsidP="00CF152E">
      <w:pPr>
        <w:pStyle w:val="Naslov3"/>
      </w:pPr>
      <w:bookmarkStart w:id="106" w:name="_Toc197340786"/>
      <w:bookmarkStart w:id="107" w:name="_Toc106015347"/>
      <w:bookmarkStart w:id="108" w:name="_Toc232407839"/>
      <w:r>
        <w:t>4.1.2. Izdatci za materijal i usluge</w:t>
      </w:r>
      <w:bookmarkEnd w:id="106"/>
      <w:bookmarkEnd w:id="107"/>
      <w:bookmarkEnd w:id="108"/>
    </w:p>
    <w:p w14:paraId="549A4A5A" w14:textId="77777777" w:rsidR="00CF152E" w:rsidRPr="000E31E0" w:rsidRDefault="00CF152E" w:rsidP="00CF152E">
      <w:pPr>
        <w:rPr>
          <w:color w:val="FF0000"/>
        </w:rPr>
      </w:pPr>
    </w:p>
    <w:p w14:paraId="3E23408D" w14:textId="582166FF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Ukupna županijska proračunska potrošnja na materijal i usluge se planira na </w:t>
      </w:r>
      <w:r w:rsidR="00BA6DAD">
        <w:rPr>
          <w:sz w:val="24"/>
          <w:szCs w:val="24"/>
        </w:rPr>
        <w:t>12,15</w:t>
      </w:r>
      <w:r w:rsidRPr="00A315B4">
        <w:rPr>
          <w:sz w:val="24"/>
          <w:szCs w:val="24"/>
        </w:rPr>
        <w:t xml:space="preserve"> % u  </w:t>
      </w:r>
      <w:r w:rsidR="000E31E0" w:rsidRPr="00A315B4">
        <w:rPr>
          <w:sz w:val="24"/>
          <w:szCs w:val="24"/>
        </w:rPr>
        <w:t>odnosu na plan proračuna za 202</w:t>
      </w:r>
      <w:r w:rsidR="00BA6DAD">
        <w:rPr>
          <w:sz w:val="24"/>
          <w:szCs w:val="24"/>
        </w:rPr>
        <w:t>6</w:t>
      </w:r>
      <w:r w:rsidRPr="00A315B4">
        <w:rPr>
          <w:sz w:val="24"/>
          <w:szCs w:val="24"/>
        </w:rPr>
        <w:t xml:space="preserve">. godinu, dok je procjena da će taj </w:t>
      </w:r>
      <w:r w:rsidR="000E31E0" w:rsidRPr="00A315B4">
        <w:rPr>
          <w:sz w:val="24"/>
          <w:szCs w:val="24"/>
        </w:rPr>
        <w:t>udio u ukupnom proračunu za 202</w:t>
      </w:r>
      <w:r w:rsidR="00BA6DAD">
        <w:rPr>
          <w:sz w:val="24"/>
          <w:szCs w:val="24"/>
        </w:rPr>
        <w:t>7</w:t>
      </w:r>
      <w:r w:rsidRPr="00A315B4">
        <w:rPr>
          <w:sz w:val="24"/>
          <w:szCs w:val="24"/>
        </w:rPr>
        <w:t xml:space="preserve">. iznositi </w:t>
      </w:r>
      <w:r w:rsidR="00BA6DAD">
        <w:rPr>
          <w:sz w:val="24"/>
          <w:szCs w:val="24"/>
        </w:rPr>
        <w:t>12,50</w:t>
      </w:r>
      <w:r w:rsidR="000E31E0" w:rsidRPr="00A315B4">
        <w:rPr>
          <w:sz w:val="24"/>
          <w:szCs w:val="24"/>
        </w:rPr>
        <w:t>%, za 202</w:t>
      </w:r>
      <w:r w:rsidR="00BA6DAD">
        <w:rPr>
          <w:sz w:val="24"/>
          <w:szCs w:val="24"/>
        </w:rPr>
        <w:t>8</w:t>
      </w:r>
      <w:r w:rsidRPr="00A315B4">
        <w:rPr>
          <w:sz w:val="24"/>
          <w:szCs w:val="24"/>
        </w:rPr>
        <w:t xml:space="preserve">. </w:t>
      </w:r>
      <w:r w:rsidR="00BA6DAD">
        <w:rPr>
          <w:sz w:val="24"/>
          <w:szCs w:val="24"/>
        </w:rPr>
        <w:t>13,00</w:t>
      </w:r>
      <w:r w:rsidR="000E31E0" w:rsidRPr="00A315B4">
        <w:rPr>
          <w:sz w:val="24"/>
          <w:szCs w:val="24"/>
        </w:rPr>
        <w:t>% i 202</w:t>
      </w:r>
      <w:r w:rsidR="00BA6DAD">
        <w:rPr>
          <w:sz w:val="24"/>
          <w:szCs w:val="24"/>
        </w:rPr>
        <w:t>9</w:t>
      </w:r>
      <w:r w:rsidR="00470585" w:rsidRPr="00A315B4">
        <w:rPr>
          <w:sz w:val="24"/>
          <w:szCs w:val="24"/>
        </w:rPr>
        <w:t xml:space="preserve">. godinu </w:t>
      </w:r>
      <w:r w:rsidR="00BA6DAD">
        <w:rPr>
          <w:sz w:val="24"/>
          <w:szCs w:val="24"/>
        </w:rPr>
        <w:t>13,52</w:t>
      </w:r>
      <w:r w:rsidRPr="00A315B4">
        <w:rPr>
          <w:sz w:val="24"/>
          <w:szCs w:val="24"/>
        </w:rPr>
        <w:t xml:space="preserve">%. Trend potrošnje na materijalne troškove u narednim godinama kreće se do </w:t>
      </w:r>
      <w:r w:rsidR="00BA6DAD">
        <w:rPr>
          <w:sz w:val="24"/>
          <w:szCs w:val="24"/>
        </w:rPr>
        <w:t>13,52</w:t>
      </w:r>
      <w:r w:rsidRPr="00A315B4">
        <w:rPr>
          <w:sz w:val="24"/>
          <w:szCs w:val="24"/>
        </w:rPr>
        <w:t>%,  dakle</w:t>
      </w:r>
      <w:r w:rsidR="000E31E0" w:rsidRPr="00A315B4">
        <w:rPr>
          <w:rFonts w:ascii="Arial" w:hAnsi="Arial" w:cs="Arial"/>
          <w:szCs w:val="22"/>
        </w:rPr>
        <w:t xml:space="preserve"> </w:t>
      </w:r>
      <w:r w:rsidR="000E31E0" w:rsidRPr="00A315B4">
        <w:rPr>
          <w:szCs w:val="22"/>
        </w:rPr>
        <w:t>DOP</w:t>
      </w:r>
      <w:r w:rsidRPr="00A315B4">
        <w:rPr>
          <w:rFonts w:ascii="Arial" w:hAnsi="Arial" w:cs="Arial"/>
          <w:szCs w:val="22"/>
        </w:rPr>
        <w:t xml:space="preserve"> </w:t>
      </w:r>
      <w:r w:rsidR="00470585" w:rsidRPr="00A315B4">
        <w:rPr>
          <w:sz w:val="24"/>
          <w:szCs w:val="24"/>
        </w:rPr>
        <w:t>predviđa da se</w:t>
      </w:r>
      <w:r w:rsidRPr="00A315B4">
        <w:rPr>
          <w:sz w:val="24"/>
          <w:szCs w:val="24"/>
        </w:rPr>
        <w:t xml:space="preserve"> ovi rashodi </w:t>
      </w:r>
      <w:r w:rsidR="000E31E0" w:rsidRPr="00A315B4">
        <w:rPr>
          <w:sz w:val="24"/>
          <w:szCs w:val="24"/>
        </w:rPr>
        <w:t>približno istoj razini</w:t>
      </w:r>
      <w:r w:rsidRPr="00A315B4">
        <w:rPr>
          <w:sz w:val="24"/>
          <w:szCs w:val="24"/>
        </w:rPr>
        <w:t xml:space="preserve"> budućem trogodišnjem razdoblju, što je sukladno izvršenju ovih troškova iz ranijih godina.</w:t>
      </w:r>
    </w:p>
    <w:p w14:paraId="6970439A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12DE57BF" w14:textId="1FDEAC79" w:rsidR="00CF152E" w:rsidRPr="00621D74" w:rsidRDefault="00CF152E" w:rsidP="00CF152E">
      <w:pPr>
        <w:pStyle w:val="Opisslike"/>
        <w:rPr>
          <w:bCs w:val="0"/>
          <w:sz w:val="20"/>
        </w:rPr>
      </w:pPr>
      <w:bookmarkStart w:id="109" w:name="_Toc129414350"/>
      <w:bookmarkStart w:id="110" w:name="_Toc190228434"/>
      <w:bookmarkStart w:id="111" w:name="_Toc232407870"/>
      <w:r w:rsidRPr="00621D74">
        <w:rPr>
          <w:lang w:val="hr-HR"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0AE29123" wp14:editId="219AC498">
            <wp:simplePos x="0" y="0"/>
            <wp:positionH relativeFrom="column">
              <wp:posOffset>0</wp:posOffset>
            </wp:positionH>
            <wp:positionV relativeFrom="paragraph">
              <wp:posOffset>325755</wp:posOffset>
            </wp:positionV>
            <wp:extent cx="6105525" cy="2599690"/>
            <wp:effectExtent l="19050" t="0" r="9525" b="0"/>
            <wp:wrapSquare wrapText="bothSides"/>
            <wp:docPr id="10" name="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Start w:id="112" w:name="_Toc106179204"/>
      <w:r>
        <w:t xml:space="preserve">Grafikon </w:t>
      </w:r>
      <w:r w:rsidR="00DA558B">
        <w:fldChar w:fldCharType="begin"/>
      </w:r>
      <w:r w:rsidR="00DA558B">
        <w:instrText xml:space="preserve"> SEQ Grafikon \* ARABIC </w:instrText>
      </w:r>
      <w:r w:rsidR="00DA558B">
        <w:fldChar w:fldCharType="separate"/>
      </w:r>
      <w:r w:rsidR="00A419B0">
        <w:t>3</w:t>
      </w:r>
      <w:r w:rsidR="00DA558B">
        <w:fldChar w:fldCharType="end"/>
      </w:r>
      <w:r>
        <w:t xml:space="preserve">. </w:t>
      </w:r>
      <w:r w:rsidRPr="00621D74">
        <w:rPr>
          <w:bCs w:val="0"/>
          <w:sz w:val="20"/>
        </w:rPr>
        <w:t>Odnos između materijalnih troškova i potrošnje na plaće</w:t>
      </w:r>
      <w:bookmarkEnd w:id="112"/>
      <w:bookmarkEnd w:id="111"/>
      <w:r w:rsidRPr="00621D74">
        <w:rPr>
          <w:bCs w:val="0"/>
          <w:sz w:val="20"/>
        </w:rPr>
        <w:t xml:space="preserve"> </w:t>
      </w:r>
    </w:p>
    <w:bookmarkEnd w:id="109"/>
    <w:bookmarkEnd w:id="110"/>
    <w:p w14:paraId="76D8E3F8" w14:textId="77777777" w:rsidR="00CF152E" w:rsidRDefault="00CF152E" w:rsidP="00CF152E">
      <w:pPr>
        <w:jc w:val="center"/>
        <w:rPr>
          <w:rFonts w:ascii="Arial" w:hAnsi="Arial" w:cs="Arial"/>
        </w:rPr>
      </w:pPr>
    </w:p>
    <w:p w14:paraId="79AE9A06" w14:textId="66A0343F" w:rsidR="00CF152E" w:rsidRPr="00A315B4" w:rsidRDefault="00CF152E" w:rsidP="00387E77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Udio materijalnih troškova u ukupnim plaćama, naknadama i doprinosima, po ovoj projekciji,  ima blago rastući trend</w:t>
      </w:r>
      <w:r w:rsidR="000E31E0" w:rsidRPr="00A315B4">
        <w:rPr>
          <w:sz w:val="24"/>
          <w:szCs w:val="24"/>
        </w:rPr>
        <w:t xml:space="preserve"> u 202</w:t>
      </w:r>
      <w:r w:rsidR="00A3522E">
        <w:rPr>
          <w:sz w:val="24"/>
          <w:szCs w:val="24"/>
        </w:rPr>
        <w:t>6</w:t>
      </w:r>
      <w:r w:rsidR="000E31E0" w:rsidRPr="00A315B4">
        <w:rPr>
          <w:sz w:val="24"/>
          <w:szCs w:val="24"/>
        </w:rPr>
        <w:t xml:space="preserve">. godini </w:t>
      </w:r>
      <w:r w:rsidR="00073005">
        <w:rPr>
          <w:sz w:val="24"/>
          <w:szCs w:val="24"/>
        </w:rPr>
        <w:t>te u</w:t>
      </w:r>
      <w:r w:rsidR="000E31E0" w:rsidRPr="00A315B4">
        <w:rPr>
          <w:sz w:val="24"/>
          <w:szCs w:val="24"/>
        </w:rPr>
        <w:t xml:space="preserve"> razdoblju 202</w:t>
      </w:r>
      <w:r w:rsidR="00A3522E">
        <w:rPr>
          <w:sz w:val="24"/>
          <w:szCs w:val="24"/>
        </w:rPr>
        <w:t>7</w:t>
      </w:r>
      <w:r w:rsidR="000E31E0" w:rsidRPr="00A315B4">
        <w:rPr>
          <w:sz w:val="24"/>
          <w:szCs w:val="24"/>
        </w:rPr>
        <w:t>.-202</w:t>
      </w:r>
      <w:r w:rsidR="00A3522E">
        <w:rPr>
          <w:sz w:val="24"/>
          <w:szCs w:val="24"/>
        </w:rPr>
        <w:t>9</w:t>
      </w:r>
      <w:r w:rsidR="00033D42" w:rsidRPr="00A315B4">
        <w:rPr>
          <w:sz w:val="24"/>
          <w:szCs w:val="24"/>
        </w:rPr>
        <w:t>. godina</w:t>
      </w:r>
      <w:r w:rsidRPr="00A315B4">
        <w:rPr>
          <w:sz w:val="24"/>
          <w:szCs w:val="24"/>
        </w:rPr>
        <w:t>.</w:t>
      </w:r>
      <w:r w:rsidR="00073005">
        <w:rPr>
          <w:sz w:val="24"/>
          <w:szCs w:val="24"/>
        </w:rPr>
        <w:t xml:space="preserve"> blago padajući.</w:t>
      </w:r>
      <w:r w:rsidRPr="00A315B4">
        <w:rPr>
          <w:sz w:val="24"/>
          <w:szCs w:val="24"/>
        </w:rPr>
        <w:t xml:space="preserve"> Udio materijalnih troškova u bruto plaći, naknadama </w:t>
      </w:r>
      <w:r w:rsidR="00033D42" w:rsidRPr="00A315B4">
        <w:rPr>
          <w:sz w:val="24"/>
          <w:szCs w:val="24"/>
        </w:rPr>
        <w:t xml:space="preserve">i doprinosima je na razini od </w:t>
      </w:r>
      <w:r w:rsidR="000E31E0" w:rsidRPr="00A315B4">
        <w:rPr>
          <w:sz w:val="24"/>
          <w:szCs w:val="24"/>
        </w:rPr>
        <w:t>1</w:t>
      </w:r>
      <w:r w:rsidR="00073005">
        <w:rPr>
          <w:sz w:val="24"/>
          <w:szCs w:val="24"/>
        </w:rPr>
        <w:t>2,50</w:t>
      </w:r>
      <w:r w:rsidRPr="00A315B4">
        <w:rPr>
          <w:sz w:val="24"/>
          <w:szCs w:val="24"/>
        </w:rPr>
        <w:t>% u ra</w:t>
      </w:r>
      <w:r w:rsidR="000E31E0" w:rsidRPr="00A315B4">
        <w:rPr>
          <w:sz w:val="24"/>
          <w:szCs w:val="24"/>
        </w:rPr>
        <w:t xml:space="preserve">zdoblju </w:t>
      </w:r>
      <w:r w:rsidR="00073005">
        <w:rPr>
          <w:sz w:val="24"/>
          <w:szCs w:val="24"/>
        </w:rPr>
        <w:t>za</w:t>
      </w:r>
      <w:r w:rsidR="000E31E0" w:rsidRPr="00A315B4">
        <w:rPr>
          <w:sz w:val="24"/>
          <w:szCs w:val="24"/>
        </w:rPr>
        <w:t xml:space="preserve"> 2027</w:t>
      </w:r>
      <w:r w:rsidRPr="00A315B4">
        <w:rPr>
          <w:sz w:val="24"/>
          <w:szCs w:val="24"/>
        </w:rPr>
        <w:t xml:space="preserve">. godine. </w:t>
      </w:r>
    </w:p>
    <w:p w14:paraId="3A57DEFA" w14:textId="77777777" w:rsidR="00CF152E" w:rsidRPr="00A315B4" w:rsidRDefault="00CF152E" w:rsidP="00CF152E">
      <w:pPr>
        <w:jc w:val="both"/>
        <w:rPr>
          <w:rFonts w:ascii="Arial" w:hAnsi="Arial" w:cs="Arial"/>
          <w:szCs w:val="22"/>
        </w:rPr>
      </w:pPr>
    </w:p>
    <w:p w14:paraId="5811EDF7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42E31211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1C390140" w14:textId="77777777" w:rsidR="00CF152E" w:rsidRDefault="00CF152E" w:rsidP="00CF152E">
      <w:pPr>
        <w:pStyle w:val="Naslov3"/>
        <w:rPr>
          <w:lang w:val="hr-BA"/>
        </w:rPr>
      </w:pPr>
      <w:bookmarkStart w:id="113" w:name="_Toc164073116"/>
      <w:bookmarkStart w:id="114" w:name="_Toc106015348"/>
      <w:bookmarkStart w:id="115" w:name="_Toc191048993"/>
      <w:bookmarkStart w:id="116" w:name="_Toc197340787"/>
      <w:bookmarkStart w:id="117" w:name="_Toc232407840"/>
      <w:r>
        <w:rPr>
          <w:lang w:val="hr-BA"/>
        </w:rPr>
        <w:t>4.1.3. Tekući transferi</w:t>
      </w:r>
      <w:bookmarkEnd w:id="113"/>
      <w:r>
        <w:rPr>
          <w:lang w:val="hr-BA"/>
        </w:rPr>
        <w:t>-potpore</w:t>
      </w:r>
      <w:bookmarkEnd w:id="114"/>
      <w:bookmarkEnd w:id="117"/>
    </w:p>
    <w:p w14:paraId="51F1BD61" w14:textId="77777777" w:rsidR="00CF152E" w:rsidRDefault="00CF152E" w:rsidP="00CF152E">
      <w:pPr>
        <w:rPr>
          <w:lang w:val="hr-BA"/>
        </w:rPr>
      </w:pPr>
    </w:p>
    <w:p w14:paraId="41FB16DE" w14:textId="77777777" w:rsidR="00CF152E" w:rsidRPr="005F4C96" w:rsidRDefault="00CF152E" w:rsidP="00CF152E">
      <w:pPr>
        <w:rPr>
          <w:lang w:val="hr-BA"/>
        </w:rPr>
      </w:pPr>
    </w:p>
    <w:p w14:paraId="58A91A50" w14:textId="107340BA" w:rsidR="00CF152E" w:rsidRDefault="00CF152E" w:rsidP="00CF152E">
      <w:pPr>
        <w:ind w:firstLine="708"/>
        <w:jc w:val="both"/>
        <w:rPr>
          <w:sz w:val="24"/>
          <w:szCs w:val="24"/>
          <w:lang w:val="hr-BA"/>
        </w:rPr>
      </w:pPr>
      <w:r w:rsidRPr="00621D74">
        <w:rPr>
          <w:sz w:val="24"/>
          <w:szCs w:val="24"/>
          <w:lang w:val="hr-BA"/>
        </w:rPr>
        <w:t>Projekcija tekućih transfe</w:t>
      </w:r>
      <w:r w:rsidR="006602C3">
        <w:rPr>
          <w:sz w:val="24"/>
          <w:szCs w:val="24"/>
          <w:lang w:val="hr-BA"/>
        </w:rPr>
        <w:t>ra – potpora u razdoblju od 202</w:t>
      </w:r>
      <w:r w:rsidR="00073005">
        <w:rPr>
          <w:sz w:val="24"/>
          <w:szCs w:val="24"/>
          <w:lang w:val="hr-BA"/>
        </w:rPr>
        <w:t>5</w:t>
      </w:r>
      <w:r w:rsidR="006602C3">
        <w:rPr>
          <w:sz w:val="24"/>
          <w:szCs w:val="24"/>
          <w:lang w:val="hr-BA"/>
        </w:rPr>
        <w:t>. do 202</w:t>
      </w:r>
      <w:r w:rsidR="00073005">
        <w:rPr>
          <w:sz w:val="24"/>
          <w:szCs w:val="24"/>
          <w:lang w:val="hr-BA"/>
        </w:rPr>
        <w:t>9</w:t>
      </w:r>
      <w:r w:rsidRPr="00621D74">
        <w:rPr>
          <w:sz w:val="24"/>
          <w:szCs w:val="24"/>
          <w:lang w:val="hr-BA"/>
        </w:rPr>
        <w:t>.</w:t>
      </w:r>
      <w:r w:rsidR="00F87DAD">
        <w:rPr>
          <w:sz w:val="24"/>
          <w:szCs w:val="24"/>
          <w:lang w:val="hr-BA"/>
        </w:rPr>
        <w:t xml:space="preserve"> </w:t>
      </w:r>
      <w:r w:rsidRPr="00621D74">
        <w:rPr>
          <w:sz w:val="24"/>
          <w:szCs w:val="24"/>
          <w:lang w:val="hr-BA"/>
        </w:rPr>
        <w:t xml:space="preserve">godine za Hercegbosansku županiju daje se u </w:t>
      </w:r>
      <w:r w:rsidR="003301FF">
        <w:rPr>
          <w:sz w:val="24"/>
          <w:szCs w:val="24"/>
          <w:lang w:val="hr-BA"/>
        </w:rPr>
        <w:t>narednoj</w:t>
      </w:r>
      <w:r w:rsidRPr="00621D74">
        <w:rPr>
          <w:sz w:val="24"/>
          <w:szCs w:val="24"/>
          <w:lang w:val="hr-BA"/>
        </w:rPr>
        <w:t xml:space="preserve"> tablici ( iznosi su u </w:t>
      </w:r>
      <w:proofErr w:type="spellStart"/>
      <w:r w:rsidRPr="00621D74">
        <w:rPr>
          <w:sz w:val="24"/>
          <w:szCs w:val="24"/>
          <w:lang w:val="hr-BA"/>
        </w:rPr>
        <w:t>mil</w:t>
      </w:r>
      <w:proofErr w:type="spellEnd"/>
      <w:r w:rsidRPr="00621D74">
        <w:rPr>
          <w:sz w:val="24"/>
          <w:szCs w:val="24"/>
          <w:lang w:val="hr-BA"/>
        </w:rPr>
        <w:t>. KM ) :</w:t>
      </w:r>
    </w:p>
    <w:p w14:paraId="6A635CD5" w14:textId="77777777" w:rsidR="00CF152E" w:rsidRDefault="00CF152E" w:rsidP="00CF152E">
      <w:pPr>
        <w:jc w:val="both"/>
        <w:rPr>
          <w:sz w:val="24"/>
          <w:szCs w:val="24"/>
          <w:lang w:val="hr-BA"/>
        </w:rPr>
      </w:pPr>
    </w:p>
    <w:p w14:paraId="00ED3531" w14:textId="77777777" w:rsidR="00CF152E" w:rsidRDefault="00CF152E" w:rsidP="00CF152E">
      <w:pPr>
        <w:rPr>
          <w:sz w:val="24"/>
          <w:szCs w:val="24"/>
          <w:lang w:val="hr-BA"/>
        </w:rPr>
      </w:pPr>
    </w:p>
    <w:p w14:paraId="271E5C2A" w14:textId="06937714" w:rsidR="00CF152E" w:rsidRPr="00337281" w:rsidRDefault="00877702" w:rsidP="00877702">
      <w:pPr>
        <w:pStyle w:val="Opisslike"/>
        <w:rPr>
          <w:sz w:val="24"/>
          <w:szCs w:val="24"/>
          <w:lang w:val="hr-BA"/>
        </w:rPr>
      </w:pPr>
      <w:bookmarkStart w:id="118" w:name="_Toc106179192"/>
      <w:bookmarkStart w:id="119" w:name="_Toc232407858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10</w:t>
      </w:r>
      <w:r w:rsidR="00D82381">
        <w:fldChar w:fldCharType="end"/>
      </w:r>
      <w:r>
        <w:t xml:space="preserve">. </w:t>
      </w:r>
      <w:r w:rsidR="00CF152E" w:rsidRPr="00337281">
        <w:t>Tekuće potpore u Hercegbosanskoj županiji</w:t>
      </w:r>
      <w:bookmarkEnd w:id="118"/>
      <w:bookmarkEnd w:id="119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2662"/>
        <w:gridCol w:w="1453"/>
        <w:gridCol w:w="1452"/>
        <w:gridCol w:w="1452"/>
        <w:gridCol w:w="1452"/>
        <w:gridCol w:w="1452"/>
      </w:tblGrid>
      <w:tr w:rsidR="00F87DAD" w:rsidRPr="00F87DAD" w14:paraId="011315C1" w14:textId="77777777" w:rsidTr="00F2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  <w:vAlign w:val="center"/>
            <w:hideMark/>
          </w:tcPr>
          <w:p w14:paraId="52C2760C" w14:textId="77777777" w:rsidR="00F87DAD" w:rsidRPr="00F87DAD" w:rsidRDefault="00F87DAD" w:rsidP="004F5C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7DAD">
              <w:rPr>
                <w:rFonts w:ascii="Arial" w:hAnsi="Arial" w:cs="Arial"/>
                <w:color w:val="000000"/>
                <w:sz w:val="20"/>
                <w:lang w:val="hr-BA"/>
              </w:rPr>
              <w:t>Tekući transferi/potpore</w:t>
            </w:r>
          </w:p>
        </w:tc>
        <w:tc>
          <w:tcPr>
            <w:tcW w:w="1403" w:type="dxa"/>
            <w:vAlign w:val="center"/>
            <w:hideMark/>
          </w:tcPr>
          <w:p w14:paraId="093797F2" w14:textId="6886FA70" w:rsidR="00F87DAD" w:rsidRPr="00F87DAD" w:rsidRDefault="006602C3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hr-BA"/>
              </w:rPr>
              <w:t>202</w:t>
            </w:r>
            <w:r w:rsidR="00073005">
              <w:rPr>
                <w:rFonts w:ascii="Arial" w:hAnsi="Arial" w:cs="Arial"/>
                <w:color w:val="000000"/>
                <w:sz w:val="20"/>
                <w:lang w:val="hr-BA"/>
              </w:rPr>
              <w:t>5</w:t>
            </w:r>
            <w:r w:rsidR="00F87DAD" w:rsidRPr="00F87DAD">
              <w:rPr>
                <w:rFonts w:ascii="Arial" w:hAnsi="Arial" w:cs="Arial"/>
                <w:color w:val="000000"/>
                <w:sz w:val="20"/>
                <w:lang w:val="hr-BA"/>
              </w:rPr>
              <w:t>.</w:t>
            </w:r>
          </w:p>
        </w:tc>
        <w:tc>
          <w:tcPr>
            <w:tcW w:w="1403" w:type="dxa"/>
            <w:vAlign w:val="center"/>
            <w:hideMark/>
          </w:tcPr>
          <w:p w14:paraId="34CCD829" w14:textId="1B85794F" w:rsidR="00F87DAD" w:rsidRPr="00F87DAD" w:rsidRDefault="006602C3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hr-BA"/>
              </w:rPr>
              <w:t>202</w:t>
            </w:r>
            <w:r w:rsidR="00073005">
              <w:rPr>
                <w:rFonts w:ascii="Arial" w:hAnsi="Arial" w:cs="Arial"/>
                <w:color w:val="000000"/>
                <w:sz w:val="20"/>
                <w:lang w:val="hr-BA"/>
              </w:rPr>
              <w:t>6</w:t>
            </w:r>
            <w:r w:rsidR="00F87DAD" w:rsidRPr="00F87DAD">
              <w:rPr>
                <w:rFonts w:ascii="Arial" w:hAnsi="Arial" w:cs="Arial"/>
                <w:color w:val="000000"/>
                <w:sz w:val="20"/>
                <w:lang w:val="hr-BA"/>
              </w:rPr>
              <w:t>.</w:t>
            </w:r>
          </w:p>
        </w:tc>
        <w:tc>
          <w:tcPr>
            <w:tcW w:w="1403" w:type="dxa"/>
            <w:vAlign w:val="center"/>
            <w:hideMark/>
          </w:tcPr>
          <w:p w14:paraId="318D6E0B" w14:textId="07BCAEF1" w:rsidR="00F87DAD" w:rsidRPr="00F87DAD" w:rsidRDefault="006602C3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hr-BA"/>
              </w:rPr>
              <w:t>202</w:t>
            </w:r>
            <w:r w:rsidR="00073005">
              <w:rPr>
                <w:rFonts w:ascii="Arial" w:hAnsi="Arial" w:cs="Arial"/>
                <w:color w:val="000000"/>
                <w:sz w:val="20"/>
                <w:lang w:val="hr-BA"/>
              </w:rPr>
              <w:t>7</w:t>
            </w:r>
            <w:r w:rsidR="00F87DAD" w:rsidRPr="00F87DAD">
              <w:rPr>
                <w:rFonts w:ascii="Arial" w:hAnsi="Arial" w:cs="Arial"/>
                <w:color w:val="000000"/>
                <w:sz w:val="20"/>
                <w:lang w:val="hr-BA"/>
              </w:rPr>
              <w:t>.</w:t>
            </w:r>
          </w:p>
        </w:tc>
        <w:tc>
          <w:tcPr>
            <w:tcW w:w="1403" w:type="dxa"/>
            <w:vAlign w:val="center"/>
            <w:hideMark/>
          </w:tcPr>
          <w:p w14:paraId="19C36AF9" w14:textId="6C84480C" w:rsidR="00F87DAD" w:rsidRPr="00F87DAD" w:rsidRDefault="006602C3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hr-BA"/>
              </w:rPr>
              <w:t>202</w:t>
            </w:r>
            <w:r w:rsidR="00073005">
              <w:rPr>
                <w:rFonts w:ascii="Arial" w:hAnsi="Arial" w:cs="Arial"/>
                <w:color w:val="000000"/>
                <w:sz w:val="20"/>
                <w:lang w:val="hr-BA"/>
              </w:rPr>
              <w:t>8</w:t>
            </w:r>
            <w:r w:rsidR="00F87DAD" w:rsidRPr="00F87DAD">
              <w:rPr>
                <w:rFonts w:ascii="Arial" w:hAnsi="Arial" w:cs="Arial"/>
                <w:color w:val="000000"/>
                <w:sz w:val="20"/>
                <w:lang w:val="hr-BA"/>
              </w:rPr>
              <w:t>.</w:t>
            </w:r>
          </w:p>
        </w:tc>
        <w:tc>
          <w:tcPr>
            <w:tcW w:w="1403" w:type="dxa"/>
            <w:vAlign w:val="center"/>
            <w:hideMark/>
          </w:tcPr>
          <w:p w14:paraId="78EB972A" w14:textId="36F18882" w:rsidR="00F87DAD" w:rsidRPr="00F87DAD" w:rsidRDefault="006602C3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hr-BA"/>
              </w:rPr>
              <w:t>202</w:t>
            </w:r>
            <w:r w:rsidR="00073005">
              <w:rPr>
                <w:rFonts w:ascii="Arial" w:hAnsi="Arial" w:cs="Arial"/>
                <w:color w:val="000000"/>
                <w:sz w:val="20"/>
                <w:lang w:val="hr-BA"/>
              </w:rPr>
              <w:t>9</w:t>
            </w:r>
            <w:r w:rsidR="00F87DAD" w:rsidRPr="00F87DAD">
              <w:rPr>
                <w:rFonts w:ascii="Arial" w:hAnsi="Arial" w:cs="Arial"/>
                <w:color w:val="000000"/>
                <w:sz w:val="20"/>
                <w:lang w:val="hr-BA"/>
              </w:rPr>
              <w:t>.</w:t>
            </w:r>
          </w:p>
        </w:tc>
      </w:tr>
      <w:tr w:rsidR="00F87DAD" w:rsidRPr="00F87DAD" w14:paraId="0DD9D4B1" w14:textId="77777777" w:rsidTr="00F24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  <w:vAlign w:val="center"/>
            <w:hideMark/>
          </w:tcPr>
          <w:p w14:paraId="54364B61" w14:textId="77777777" w:rsidR="00F87DAD" w:rsidRPr="00F87DAD" w:rsidRDefault="00F87DAD" w:rsidP="004F5C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7DAD">
              <w:rPr>
                <w:rFonts w:ascii="Arial" w:hAnsi="Arial" w:cs="Arial"/>
                <w:color w:val="000000"/>
                <w:sz w:val="20"/>
                <w:lang w:val="hr-BA"/>
              </w:rPr>
              <w:t>UKUPNO :</w:t>
            </w:r>
          </w:p>
        </w:tc>
        <w:tc>
          <w:tcPr>
            <w:tcW w:w="1403" w:type="dxa"/>
            <w:vAlign w:val="center"/>
            <w:hideMark/>
          </w:tcPr>
          <w:p w14:paraId="41F69FE8" w14:textId="371DBB9C" w:rsidR="00F87DAD" w:rsidRPr="00F87DAD" w:rsidRDefault="00073005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25,46</w:t>
            </w:r>
          </w:p>
        </w:tc>
        <w:tc>
          <w:tcPr>
            <w:tcW w:w="1403" w:type="dxa"/>
            <w:vAlign w:val="center"/>
            <w:hideMark/>
          </w:tcPr>
          <w:p w14:paraId="2D615A27" w14:textId="2195378F" w:rsidR="00F87DAD" w:rsidRPr="00F87DAD" w:rsidRDefault="006602C3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2</w:t>
            </w:r>
            <w:r w:rsidR="00073005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9,09</w:t>
            </w:r>
          </w:p>
        </w:tc>
        <w:tc>
          <w:tcPr>
            <w:tcW w:w="1403" w:type="dxa"/>
            <w:vAlign w:val="center"/>
            <w:hideMark/>
          </w:tcPr>
          <w:p w14:paraId="0ACC5FF7" w14:textId="2B58A3F5" w:rsidR="00F87DAD" w:rsidRPr="00F87DAD" w:rsidRDefault="006602C3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2</w:t>
            </w:r>
            <w:r w:rsidR="00073005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9,47</w:t>
            </w:r>
          </w:p>
        </w:tc>
        <w:tc>
          <w:tcPr>
            <w:tcW w:w="1403" w:type="dxa"/>
            <w:vAlign w:val="center"/>
            <w:hideMark/>
          </w:tcPr>
          <w:p w14:paraId="5D8A3961" w14:textId="7ECD4017" w:rsidR="00F87DAD" w:rsidRPr="00F87DAD" w:rsidRDefault="00073005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31,09</w:t>
            </w:r>
          </w:p>
        </w:tc>
        <w:tc>
          <w:tcPr>
            <w:tcW w:w="1403" w:type="dxa"/>
            <w:vAlign w:val="center"/>
            <w:hideMark/>
          </w:tcPr>
          <w:p w14:paraId="1AC8365A" w14:textId="7AD51934" w:rsidR="00F87DAD" w:rsidRPr="00F87DAD" w:rsidRDefault="002212CA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073005">
              <w:rPr>
                <w:rFonts w:ascii="Arial" w:hAnsi="Arial" w:cs="Arial"/>
                <w:b/>
                <w:bCs/>
                <w:color w:val="000000"/>
                <w:sz w:val="20"/>
              </w:rPr>
              <w:t>3,23</w:t>
            </w:r>
          </w:p>
        </w:tc>
      </w:tr>
      <w:tr w:rsidR="00F87DAD" w:rsidRPr="00F87DAD" w14:paraId="57C16F53" w14:textId="77777777" w:rsidTr="00F241EB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0" w:type="dxa"/>
            <w:vAlign w:val="center"/>
            <w:hideMark/>
          </w:tcPr>
          <w:p w14:paraId="78C15467" w14:textId="77777777" w:rsidR="00F87DAD" w:rsidRPr="00F87DAD" w:rsidRDefault="00F87DAD" w:rsidP="004F5C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7DAD">
              <w:rPr>
                <w:rFonts w:ascii="Arial" w:hAnsi="Arial" w:cs="Arial"/>
                <w:color w:val="000000"/>
                <w:sz w:val="20"/>
                <w:lang w:val="hr-BA"/>
              </w:rPr>
              <w:t>Udio u Proračunu %</w:t>
            </w:r>
          </w:p>
        </w:tc>
        <w:tc>
          <w:tcPr>
            <w:tcW w:w="1403" w:type="dxa"/>
            <w:vAlign w:val="center"/>
            <w:hideMark/>
          </w:tcPr>
          <w:p w14:paraId="2BCFE5E9" w14:textId="286AFAC6" w:rsidR="00F87DAD" w:rsidRPr="00F87DAD" w:rsidRDefault="00A873FF" w:rsidP="00A873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1</w:t>
            </w:r>
            <w:r w:rsidR="00073005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9,6</w:t>
            </w:r>
            <w:r w:rsidR="00D85355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7</w:t>
            </w:r>
            <w:r w:rsidR="00F87DAD" w:rsidRPr="00F87DAD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%</w:t>
            </w:r>
          </w:p>
        </w:tc>
        <w:tc>
          <w:tcPr>
            <w:tcW w:w="1403" w:type="dxa"/>
            <w:vAlign w:val="center"/>
            <w:hideMark/>
          </w:tcPr>
          <w:p w14:paraId="61B3E419" w14:textId="7728BE0A" w:rsidR="00F87DAD" w:rsidRPr="00F87DAD" w:rsidRDefault="00A873FF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1</w:t>
            </w:r>
            <w:r w:rsidR="00073005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8,72</w:t>
            </w:r>
            <w:r w:rsidR="00F87DAD" w:rsidRPr="00F87DAD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%</w:t>
            </w:r>
          </w:p>
        </w:tc>
        <w:tc>
          <w:tcPr>
            <w:tcW w:w="1403" w:type="dxa"/>
            <w:vAlign w:val="center"/>
            <w:hideMark/>
          </w:tcPr>
          <w:p w14:paraId="4D4285B9" w14:textId="63329755" w:rsidR="00F87DAD" w:rsidRPr="00F87DAD" w:rsidRDefault="00336E3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18,33</w:t>
            </w:r>
            <w:r w:rsidR="00F87DAD" w:rsidRPr="00F87DAD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%</w:t>
            </w:r>
          </w:p>
        </w:tc>
        <w:tc>
          <w:tcPr>
            <w:tcW w:w="1403" w:type="dxa"/>
            <w:vAlign w:val="center"/>
            <w:hideMark/>
          </w:tcPr>
          <w:p w14:paraId="0C10E09A" w14:textId="3E4097F0" w:rsidR="00F87DAD" w:rsidRPr="00F87DAD" w:rsidRDefault="00A873FF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 xml:space="preserve"> 18,</w:t>
            </w:r>
            <w:r w:rsidR="00336E32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53</w:t>
            </w:r>
            <w:r w:rsidR="00F87DAD" w:rsidRPr="00F87DAD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%</w:t>
            </w:r>
          </w:p>
        </w:tc>
        <w:tc>
          <w:tcPr>
            <w:tcW w:w="1403" w:type="dxa"/>
            <w:vAlign w:val="center"/>
            <w:hideMark/>
          </w:tcPr>
          <w:p w14:paraId="7E8537FA" w14:textId="760F42E3" w:rsidR="00F87DAD" w:rsidRPr="00F87DAD" w:rsidRDefault="00A873FF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18,</w:t>
            </w:r>
            <w:r w:rsidR="00336E32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84</w:t>
            </w:r>
            <w:r w:rsidR="00F87DAD" w:rsidRPr="00F87DAD">
              <w:rPr>
                <w:rFonts w:ascii="Arial" w:hAnsi="Arial" w:cs="Arial"/>
                <w:b/>
                <w:bCs/>
                <w:color w:val="000000"/>
                <w:sz w:val="20"/>
                <w:lang w:val="hr-BA"/>
              </w:rPr>
              <w:t>%</w:t>
            </w:r>
          </w:p>
        </w:tc>
      </w:tr>
    </w:tbl>
    <w:p w14:paraId="32D8A695" w14:textId="77777777" w:rsidR="00CF152E" w:rsidRDefault="00CF152E" w:rsidP="00551693">
      <w:pPr>
        <w:jc w:val="center"/>
        <w:rPr>
          <w:rFonts w:ascii="Arial" w:hAnsi="Arial" w:cs="Arial"/>
          <w:b/>
          <w:sz w:val="21"/>
          <w:szCs w:val="21"/>
          <w:lang w:val="hr-BA"/>
        </w:rPr>
      </w:pPr>
    </w:p>
    <w:p w14:paraId="3C7B7D64" w14:textId="77777777" w:rsidR="00CF152E" w:rsidRDefault="00CF152E" w:rsidP="00CF152E">
      <w:pPr>
        <w:rPr>
          <w:rFonts w:ascii="Arial" w:hAnsi="Arial" w:cs="Arial"/>
          <w:b/>
          <w:sz w:val="21"/>
          <w:szCs w:val="21"/>
          <w:lang w:val="hr-BA"/>
        </w:rPr>
      </w:pPr>
    </w:p>
    <w:p w14:paraId="6886484E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0290D685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09825B4D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68F5482D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24DEE7D1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167002B0" w14:textId="77777777" w:rsidR="00754CCC" w:rsidRDefault="00754CCC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6223D188" w14:textId="77777777" w:rsidR="00754CCC" w:rsidRDefault="00754CCC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132A4612" w14:textId="77777777" w:rsidR="00754CCC" w:rsidRDefault="00754CCC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57CED716" w14:textId="77777777" w:rsidR="00754CCC" w:rsidRDefault="00754CCC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351E49D3" w14:textId="77777777" w:rsidR="00CF152E" w:rsidRDefault="00CF152E" w:rsidP="00CF152E">
      <w:pPr>
        <w:jc w:val="both"/>
        <w:rPr>
          <w:rFonts w:ascii="Arial" w:hAnsi="Arial" w:cs="Arial"/>
          <w:spacing w:val="-2"/>
          <w:szCs w:val="22"/>
          <w:lang w:val="hr-BA"/>
        </w:rPr>
      </w:pPr>
    </w:p>
    <w:p w14:paraId="6602ED88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195F57FF" w14:textId="378E34C6" w:rsidR="00CF152E" w:rsidRDefault="00CF152E" w:rsidP="00CF152E">
      <w:pPr>
        <w:pStyle w:val="Opisslike"/>
        <w:rPr>
          <w:rFonts w:ascii="Arial" w:hAnsi="Arial" w:cs="Arial"/>
          <w:spacing w:val="-3"/>
          <w:szCs w:val="22"/>
          <w:lang w:val="hr-BA"/>
        </w:rPr>
      </w:pPr>
      <w:bookmarkStart w:id="120" w:name="_Toc106179205"/>
      <w:bookmarkStart w:id="121" w:name="_Toc232407871"/>
      <w:r>
        <w:lastRenderedPageBreak/>
        <w:t xml:space="preserve">Grafikon </w:t>
      </w:r>
      <w:r w:rsidR="00DA558B">
        <w:fldChar w:fldCharType="begin"/>
      </w:r>
      <w:r w:rsidR="00DA558B">
        <w:instrText xml:space="preserve"> SEQ Grafikon \* ARABIC </w:instrText>
      </w:r>
      <w:r w:rsidR="00DA558B">
        <w:fldChar w:fldCharType="separate"/>
      </w:r>
      <w:r w:rsidR="00A419B0">
        <w:t>4</w:t>
      </w:r>
      <w:r w:rsidR="00DA558B">
        <w:fldChar w:fldCharType="end"/>
      </w:r>
      <w:r>
        <w:t>. Tekuće potpore/transferi unutar Proračuna Hercegbosanske županije</w:t>
      </w:r>
      <w:bookmarkEnd w:id="120"/>
      <w:bookmarkEnd w:id="121"/>
    </w:p>
    <w:p w14:paraId="79BF8017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42A1E3DF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  <w:r>
        <w:rPr>
          <w:rFonts w:ascii="Arial" w:hAnsi="Arial" w:cs="Arial"/>
          <w:noProof/>
          <w:spacing w:val="-3"/>
          <w:szCs w:val="22"/>
          <w:lang w:eastAsia="hr-HR"/>
        </w:rPr>
        <w:drawing>
          <wp:inline distT="0" distB="0" distL="0" distR="0" wp14:anchorId="1850E52D" wp14:editId="7BA776A9">
            <wp:extent cx="5514975" cy="3086100"/>
            <wp:effectExtent l="0" t="0" r="0" b="0"/>
            <wp:docPr id="11" name="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AFC30B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0CDA5F75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308CB28B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20AA4A53" w14:textId="77777777" w:rsidR="00CF152E" w:rsidRDefault="00CF152E" w:rsidP="00CF152E">
      <w:pPr>
        <w:jc w:val="both"/>
        <w:rPr>
          <w:rFonts w:ascii="Arial" w:hAnsi="Arial" w:cs="Arial"/>
          <w:spacing w:val="-3"/>
          <w:szCs w:val="22"/>
          <w:lang w:val="hr-BA"/>
        </w:rPr>
      </w:pPr>
    </w:p>
    <w:p w14:paraId="3FF22519" w14:textId="17B9B4AF" w:rsidR="00CF152E" w:rsidRPr="00A315B4" w:rsidRDefault="00CF152E" w:rsidP="00CF152E">
      <w:pPr>
        <w:ind w:firstLine="708"/>
        <w:jc w:val="both"/>
        <w:rPr>
          <w:spacing w:val="-3"/>
          <w:sz w:val="24"/>
          <w:szCs w:val="24"/>
          <w:lang w:val="hr-BA"/>
        </w:rPr>
      </w:pPr>
      <w:r w:rsidRPr="00A315B4">
        <w:rPr>
          <w:spacing w:val="-3"/>
          <w:sz w:val="24"/>
          <w:szCs w:val="24"/>
          <w:lang w:val="hr-BA"/>
        </w:rPr>
        <w:t>Tekuće potpore-transfere čine: potpore drugim razinama vlasti, potpore pojedincima, potpore neprofitnim organizacijama, subvencije javnim poduzećima i ostale</w:t>
      </w:r>
      <w:r w:rsidR="00892212" w:rsidRPr="00A315B4">
        <w:rPr>
          <w:spacing w:val="-3"/>
          <w:sz w:val="24"/>
          <w:szCs w:val="24"/>
          <w:lang w:val="hr-BA"/>
        </w:rPr>
        <w:t xml:space="preserve"> potpore-povrati i drugo</w:t>
      </w:r>
      <w:r w:rsidRPr="00A315B4">
        <w:rPr>
          <w:spacing w:val="-3"/>
          <w:sz w:val="24"/>
          <w:szCs w:val="24"/>
          <w:lang w:val="hr-BA"/>
        </w:rPr>
        <w:t xml:space="preserve">. </w:t>
      </w:r>
    </w:p>
    <w:p w14:paraId="47860CD8" w14:textId="77777777" w:rsidR="00CF152E" w:rsidRPr="00A315B4" w:rsidRDefault="00CF152E" w:rsidP="00CF152E">
      <w:pPr>
        <w:ind w:firstLine="708"/>
        <w:jc w:val="both"/>
        <w:rPr>
          <w:spacing w:val="-3"/>
          <w:sz w:val="24"/>
          <w:szCs w:val="24"/>
          <w:lang w:val="hr-BA"/>
        </w:rPr>
      </w:pPr>
    </w:p>
    <w:p w14:paraId="7CA78F5C" w14:textId="5102184C" w:rsidR="00CF152E" w:rsidRPr="00A315B4" w:rsidRDefault="00CF152E" w:rsidP="00CF152E">
      <w:pPr>
        <w:ind w:firstLine="708"/>
        <w:jc w:val="both"/>
        <w:rPr>
          <w:spacing w:val="-3"/>
          <w:sz w:val="24"/>
          <w:szCs w:val="24"/>
          <w:lang w:val="hr-BA"/>
        </w:rPr>
      </w:pPr>
      <w:r w:rsidRPr="00A315B4">
        <w:rPr>
          <w:spacing w:val="-3"/>
          <w:sz w:val="24"/>
          <w:szCs w:val="24"/>
          <w:lang w:val="hr-BA"/>
        </w:rPr>
        <w:t>Dakle, opća karakteristika tekućih transfera-potpora u planiranom trogodišnjem razdoblju</w:t>
      </w:r>
      <w:r w:rsidR="00892212" w:rsidRPr="00A315B4">
        <w:rPr>
          <w:spacing w:val="-3"/>
          <w:sz w:val="24"/>
          <w:szCs w:val="24"/>
          <w:lang w:val="hr-BA"/>
        </w:rPr>
        <w:t xml:space="preserve"> od 202</w:t>
      </w:r>
      <w:r w:rsidR="00642A07">
        <w:rPr>
          <w:spacing w:val="-3"/>
          <w:sz w:val="24"/>
          <w:szCs w:val="24"/>
          <w:lang w:val="hr-BA"/>
        </w:rPr>
        <w:t>7</w:t>
      </w:r>
      <w:r w:rsidR="00892212" w:rsidRPr="00A315B4">
        <w:rPr>
          <w:spacing w:val="-3"/>
          <w:sz w:val="24"/>
          <w:szCs w:val="24"/>
          <w:lang w:val="hr-BA"/>
        </w:rPr>
        <w:t>.-202</w:t>
      </w:r>
      <w:r w:rsidR="00642A07">
        <w:rPr>
          <w:spacing w:val="-3"/>
          <w:sz w:val="24"/>
          <w:szCs w:val="24"/>
          <w:lang w:val="hr-BA"/>
        </w:rPr>
        <w:t>9</w:t>
      </w:r>
      <w:r w:rsidR="00551693" w:rsidRPr="00A315B4">
        <w:rPr>
          <w:spacing w:val="-3"/>
          <w:sz w:val="24"/>
          <w:szCs w:val="24"/>
          <w:lang w:val="hr-BA"/>
        </w:rPr>
        <w:t>. godine</w:t>
      </w:r>
      <w:r w:rsidRPr="00A315B4">
        <w:rPr>
          <w:spacing w:val="-3"/>
          <w:sz w:val="24"/>
          <w:szCs w:val="24"/>
          <w:lang w:val="hr-BA"/>
        </w:rPr>
        <w:t xml:space="preserve"> unutar Proračuna HBŽ-a je s tendencijom </w:t>
      </w:r>
      <w:r w:rsidR="00642A07">
        <w:rPr>
          <w:spacing w:val="-3"/>
          <w:sz w:val="24"/>
          <w:szCs w:val="24"/>
          <w:lang w:val="hr-BA"/>
        </w:rPr>
        <w:t xml:space="preserve">blagog </w:t>
      </w:r>
      <w:r w:rsidRPr="00A315B4">
        <w:rPr>
          <w:spacing w:val="-3"/>
          <w:sz w:val="24"/>
          <w:szCs w:val="24"/>
          <w:lang w:val="hr-BA"/>
        </w:rPr>
        <w:t>rasta u odnosu na prethodna razdoblja budući da se iz ove vrste rashoda financiraju potpore nižim razinama vlasti, potpore za šport, kulturu, dječji doplatak, porodiljne naknade, pripravnici i ostalo.</w:t>
      </w:r>
    </w:p>
    <w:p w14:paraId="4333B4E8" w14:textId="77777777" w:rsidR="00CF152E" w:rsidRPr="00621D74" w:rsidRDefault="00CF152E" w:rsidP="00CF152E">
      <w:pPr>
        <w:jc w:val="both"/>
        <w:rPr>
          <w:spacing w:val="-3"/>
          <w:sz w:val="24"/>
          <w:szCs w:val="24"/>
          <w:lang w:val="hr-BA"/>
        </w:rPr>
      </w:pPr>
    </w:p>
    <w:p w14:paraId="31B0051E" w14:textId="77777777" w:rsidR="00CF152E" w:rsidRDefault="0040767F" w:rsidP="0040767F">
      <w:pPr>
        <w:pStyle w:val="Naslov3"/>
      </w:pPr>
      <w:bookmarkStart w:id="122" w:name="_Toc197340788"/>
      <w:bookmarkStart w:id="123" w:name="_Toc106015349"/>
      <w:bookmarkStart w:id="124" w:name="_Toc129414351"/>
      <w:bookmarkStart w:id="125" w:name="_Toc232407841"/>
      <w:bookmarkEnd w:id="115"/>
      <w:bookmarkEnd w:id="116"/>
      <w:r>
        <w:t>4.1</w:t>
      </w:r>
      <w:r w:rsidR="00CF152E">
        <w:t>.</w:t>
      </w:r>
      <w:r>
        <w:t>4.</w:t>
      </w:r>
      <w:r w:rsidR="00CF152E">
        <w:t xml:space="preserve"> Kapitalni izdatci</w:t>
      </w:r>
      <w:bookmarkEnd w:id="122"/>
      <w:bookmarkEnd w:id="123"/>
      <w:bookmarkEnd w:id="125"/>
    </w:p>
    <w:p w14:paraId="48C12BC3" w14:textId="77777777" w:rsidR="00CF152E" w:rsidRPr="005F4C96" w:rsidRDefault="00CF152E" w:rsidP="00CF152E"/>
    <w:p w14:paraId="35B8A5D7" w14:textId="0857E22A" w:rsidR="00CF152E" w:rsidRPr="00A315B4" w:rsidRDefault="007E0EDF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Za 202</w:t>
      </w:r>
      <w:r w:rsidR="00642A07">
        <w:rPr>
          <w:sz w:val="24"/>
          <w:szCs w:val="24"/>
        </w:rPr>
        <w:t>6</w:t>
      </w:r>
      <w:r w:rsidR="00CF152E" w:rsidRPr="00A315B4">
        <w:rPr>
          <w:sz w:val="24"/>
          <w:szCs w:val="24"/>
        </w:rPr>
        <w:t xml:space="preserve">. godinu planira se iznos od </w:t>
      </w:r>
      <w:r w:rsidR="00702503">
        <w:rPr>
          <w:sz w:val="24"/>
          <w:szCs w:val="24"/>
        </w:rPr>
        <w:t>1</w:t>
      </w:r>
      <w:r w:rsidR="00642A07">
        <w:rPr>
          <w:sz w:val="24"/>
          <w:szCs w:val="24"/>
        </w:rPr>
        <w:t>2,67</w:t>
      </w:r>
      <w:r w:rsidR="00CF152E" w:rsidRPr="00A315B4">
        <w:rPr>
          <w:sz w:val="24"/>
          <w:szCs w:val="24"/>
        </w:rPr>
        <w:t xml:space="preserve"> </w:t>
      </w:r>
      <w:proofErr w:type="spellStart"/>
      <w:r w:rsidR="00CF152E" w:rsidRPr="00A315B4">
        <w:rPr>
          <w:sz w:val="24"/>
          <w:szCs w:val="24"/>
        </w:rPr>
        <w:t>mil</w:t>
      </w:r>
      <w:proofErr w:type="spellEnd"/>
      <w:r w:rsidR="00CF152E" w:rsidRPr="00A315B4">
        <w:rPr>
          <w:sz w:val="24"/>
          <w:szCs w:val="24"/>
        </w:rPr>
        <w:t>. KM kapitalnih izdataka. U naredne tri godine se očekuje d</w:t>
      </w:r>
      <w:r w:rsidRPr="00A315B4">
        <w:rPr>
          <w:sz w:val="24"/>
          <w:szCs w:val="24"/>
        </w:rPr>
        <w:t>a će ovi izdatci iznositi u 202</w:t>
      </w:r>
      <w:r w:rsidR="00642A07">
        <w:rPr>
          <w:sz w:val="24"/>
          <w:szCs w:val="24"/>
        </w:rPr>
        <w:t>7</w:t>
      </w:r>
      <w:r w:rsidR="003442C6" w:rsidRPr="00A315B4">
        <w:rPr>
          <w:sz w:val="24"/>
          <w:szCs w:val="24"/>
        </w:rPr>
        <w:t xml:space="preserve">. god. </w:t>
      </w:r>
      <w:r w:rsidR="00702503">
        <w:rPr>
          <w:sz w:val="24"/>
          <w:szCs w:val="24"/>
        </w:rPr>
        <w:t>12,</w:t>
      </w:r>
      <w:r w:rsidR="00642A07">
        <w:rPr>
          <w:sz w:val="24"/>
          <w:szCs w:val="24"/>
        </w:rPr>
        <w:t>88</w:t>
      </w:r>
      <w:r w:rsidRPr="00A315B4">
        <w:rPr>
          <w:sz w:val="24"/>
          <w:szCs w:val="24"/>
        </w:rPr>
        <w:t xml:space="preserve"> </w:t>
      </w:r>
      <w:proofErr w:type="spellStart"/>
      <w:r w:rsidRPr="00A315B4">
        <w:rPr>
          <w:sz w:val="24"/>
          <w:szCs w:val="24"/>
        </w:rPr>
        <w:t>mil</w:t>
      </w:r>
      <w:proofErr w:type="spellEnd"/>
      <w:r w:rsidRPr="00A315B4">
        <w:rPr>
          <w:sz w:val="24"/>
          <w:szCs w:val="24"/>
        </w:rPr>
        <w:t>. KM, u 202</w:t>
      </w:r>
      <w:r w:rsidR="00642A07">
        <w:rPr>
          <w:sz w:val="24"/>
          <w:szCs w:val="24"/>
        </w:rPr>
        <w:t>8</w:t>
      </w:r>
      <w:r w:rsidR="00CF152E" w:rsidRPr="00A315B4">
        <w:rPr>
          <w:sz w:val="24"/>
          <w:szCs w:val="24"/>
        </w:rPr>
        <w:t xml:space="preserve">. god. </w:t>
      </w:r>
      <w:r w:rsidR="00702503">
        <w:rPr>
          <w:sz w:val="24"/>
          <w:szCs w:val="24"/>
        </w:rPr>
        <w:t>1</w:t>
      </w:r>
      <w:r w:rsidR="00642A07">
        <w:rPr>
          <w:sz w:val="24"/>
          <w:szCs w:val="24"/>
        </w:rPr>
        <w:t>4,30</w:t>
      </w:r>
      <w:r w:rsidRPr="00A315B4">
        <w:rPr>
          <w:sz w:val="24"/>
          <w:szCs w:val="24"/>
        </w:rPr>
        <w:t xml:space="preserve"> </w:t>
      </w:r>
      <w:proofErr w:type="spellStart"/>
      <w:r w:rsidRPr="00A315B4">
        <w:rPr>
          <w:sz w:val="24"/>
          <w:szCs w:val="24"/>
        </w:rPr>
        <w:t>mil</w:t>
      </w:r>
      <w:proofErr w:type="spellEnd"/>
      <w:r w:rsidRPr="00A315B4">
        <w:rPr>
          <w:sz w:val="24"/>
          <w:szCs w:val="24"/>
        </w:rPr>
        <w:t>. KM i u 202</w:t>
      </w:r>
      <w:r w:rsidR="00642A07">
        <w:rPr>
          <w:sz w:val="24"/>
          <w:szCs w:val="24"/>
        </w:rPr>
        <w:t>9</w:t>
      </w:r>
      <w:r w:rsidR="003442C6" w:rsidRPr="00A315B4">
        <w:rPr>
          <w:sz w:val="24"/>
          <w:szCs w:val="24"/>
        </w:rPr>
        <w:t xml:space="preserve">. god. </w:t>
      </w:r>
      <w:r w:rsidR="00702503">
        <w:rPr>
          <w:sz w:val="24"/>
          <w:szCs w:val="24"/>
        </w:rPr>
        <w:t>1</w:t>
      </w:r>
      <w:r w:rsidR="00642A07">
        <w:rPr>
          <w:sz w:val="24"/>
          <w:szCs w:val="24"/>
        </w:rPr>
        <w:t>5,70</w:t>
      </w:r>
      <w:r w:rsidR="00CF152E" w:rsidRPr="00A315B4">
        <w:rPr>
          <w:sz w:val="24"/>
          <w:szCs w:val="24"/>
        </w:rPr>
        <w:t xml:space="preserve"> </w:t>
      </w:r>
      <w:proofErr w:type="spellStart"/>
      <w:r w:rsidR="00CF152E" w:rsidRPr="00A315B4">
        <w:rPr>
          <w:sz w:val="24"/>
          <w:szCs w:val="24"/>
        </w:rPr>
        <w:t>mil</w:t>
      </w:r>
      <w:proofErr w:type="spellEnd"/>
      <w:r w:rsidR="00CF152E" w:rsidRPr="00A315B4">
        <w:rPr>
          <w:sz w:val="24"/>
          <w:szCs w:val="24"/>
        </w:rPr>
        <w:t>. KM.</w:t>
      </w:r>
    </w:p>
    <w:p w14:paraId="07BF0652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466229C4" w14:textId="12BCC235" w:rsidR="00CF152E" w:rsidRPr="00A315B4" w:rsidRDefault="003442C6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 Izvršenje ovih izdataka u nare</w:t>
      </w:r>
      <w:r w:rsidR="007E0EDF" w:rsidRPr="00A315B4">
        <w:rPr>
          <w:sz w:val="24"/>
          <w:szCs w:val="24"/>
        </w:rPr>
        <w:t>dnom trogodišnjem razdoblju 202</w:t>
      </w:r>
      <w:r w:rsidR="00642A07">
        <w:rPr>
          <w:sz w:val="24"/>
          <w:szCs w:val="24"/>
        </w:rPr>
        <w:t>7</w:t>
      </w:r>
      <w:r w:rsidR="007E0EDF" w:rsidRPr="00A315B4">
        <w:rPr>
          <w:sz w:val="24"/>
          <w:szCs w:val="24"/>
        </w:rPr>
        <w:t>.-202</w:t>
      </w:r>
      <w:r w:rsidR="00642A07">
        <w:rPr>
          <w:sz w:val="24"/>
          <w:szCs w:val="24"/>
        </w:rPr>
        <w:t>9</w:t>
      </w:r>
      <w:r w:rsidRPr="00A315B4">
        <w:rPr>
          <w:sz w:val="24"/>
          <w:szCs w:val="24"/>
        </w:rPr>
        <w:t xml:space="preserve">. </w:t>
      </w:r>
      <w:r w:rsidR="00B6259F" w:rsidRPr="00A315B4">
        <w:rPr>
          <w:sz w:val="24"/>
          <w:szCs w:val="24"/>
        </w:rPr>
        <w:t>g</w:t>
      </w:r>
      <w:r w:rsidRPr="00A315B4">
        <w:rPr>
          <w:sz w:val="24"/>
          <w:szCs w:val="24"/>
        </w:rPr>
        <w:t>odina</w:t>
      </w:r>
      <w:r w:rsidR="00B6259F" w:rsidRPr="00A315B4">
        <w:rPr>
          <w:sz w:val="24"/>
          <w:szCs w:val="24"/>
        </w:rPr>
        <w:t xml:space="preserve"> imat će blagi trend rasta.</w:t>
      </w:r>
    </w:p>
    <w:p w14:paraId="3EE923F6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11157374" w14:textId="7A4539BC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Pod pretpostavkom da se projicirani prihodi ostvaruju u promatranom trogodišnjem razdoblju, zadaća proračunskih korisnika</w:t>
      </w:r>
      <w:r w:rsidR="003301FF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-</w:t>
      </w:r>
      <w:r w:rsidR="003301FF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ministarstava bila bi iznalaženje kvalitetnih programa i projekata koji bi bili predmet izvršavanja povećanih prihoda.</w:t>
      </w:r>
    </w:p>
    <w:p w14:paraId="7EFAEFDF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7BD129D5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Kapitalne potpore (garantovi) uglavnom su namijenjeni za kapitalne potpore općinskih projekata i kapitalne potpore pojedincima – vojnim invalidima i obiteljima poginulih branitelja.</w:t>
      </w:r>
    </w:p>
    <w:p w14:paraId="223EB8E8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5B485EBE" w14:textId="51046264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lastRenderedPageBreak/>
        <w:t>Prema prognozama relevantnih međunarodnih i domaćih institucija u b</w:t>
      </w:r>
      <w:r w:rsidR="007E0EDF" w:rsidRPr="00A315B4">
        <w:rPr>
          <w:sz w:val="24"/>
          <w:szCs w:val="24"/>
        </w:rPr>
        <w:t>udućem razdoblju počevši od 202</w:t>
      </w:r>
      <w:r w:rsidR="00642A07">
        <w:rPr>
          <w:sz w:val="24"/>
          <w:szCs w:val="24"/>
        </w:rPr>
        <w:t>7</w:t>
      </w:r>
      <w:r w:rsidRPr="00A315B4">
        <w:rPr>
          <w:sz w:val="24"/>
          <w:szCs w:val="24"/>
        </w:rPr>
        <w:t>. godine, može se očekivati značajniji ekonomski rast u zemljama okruženja pa tako i u Bosni i Hercegovini. Stoga, u narednom razdoblju može se očekivati izdvajanje značajnijih sredstava za ovu vrst</w:t>
      </w:r>
      <w:r w:rsidR="00B6259F" w:rsidRPr="00A315B4">
        <w:rPr>
          <w:sz w:val="24"/>
          <w:szCs w:val="24"/>
        </w:rPr>
        <w:t>u proračunskih izdataka u odnosu na izvršenja iz prethodnih godina.</w:t>
      </w:r>
    </w:p>
    <w:p w14:paraId="02677D4A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573E2053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056B02F3" w14:textId="77777777" w:rsidR="00CF152E" w:rsidRDefault="00CF152E" w:rsidP="00CF152E">
      <w:pPr>
        <w:jc w:val="both"/>
        <w:rPr>
          <w:rFonts w:ascii="Arial" w:hAnsi="Arial" w:cs="Arial"/>
          <w:sz w:val="20"/>
        </w:rPr>
      </w:pPr>
    </w:p>
    <w:p w14:paraId="755CD2E1" w14:textId="18E12C4E" w:rsidR="00CF152E" w:rsidRPr="00337281" w:rsidRDefault="00877702" w:rsidP="00877702">
      <w:pPr>
        <w:pStyle w:val="Opisslike"/>
      </w:pPr>
      <w:bookmarkStart w:id="126" w:name="_Toc106179193"/>
      <w:bookmarkStart w:id="127" w:name="_Toc232407859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11</w:t>
      </w:r>
      <w:r w:rsidR="00D82381">
        <w:fldChar w:fldCharType="end"/>
      </w:r>
      <w:r>
        <w:t xml:space="preserve">. </w:t>
      </w:r>
      <w:r w:rsidR="00CF152E" w:rsidRPr="00337281">
        <w:t>Kapitalni izdatci Hercegbo</w:t>
      </w:r>
      <w:r w:rsidR="007E0EDF">
        <w:t>sanske županije za razdoblje202</w:t>
      </w:r>
      <w:r w:rsidR="00642A07">
        <w:t>5</w:t>
      </w:r>
      <w:r w:rsidR="007E0EDF">
        <w:t>.-202</w:t>
      </w:r>
      <w:r w:rsidR="00642A07">
        <w:t>9</w:t>
      </w:r>
      <w:r w:rsidR="00CF152E" w:rsidRPr="00337281">
        <w:t>.g. (u mil. KM)</w:t>
      </w:r>
      <w:bookmarkEnd w:id="126"/>
      <w:bookmarkEnd w:id="127"/>
    </w:p>
    <w:p w14:paraId="05130132" w14:textId="77777777" w:rsidR="00CF152E" w:rsidRDefault="00CF152E" w:rsidP="00CF152E">
      <w:pPr>
        <w:jc w:val="center"/>
        <w:rPr>
          <w:rFonts w:ascii="Arial" w:hAnsi="Arial" w:cs="Arial"/>
          <w:b/>
          <w:sz w:val="20"/>
        </w:rPr>
      </w:pPr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4750"/>
        <w:gridCol w:w="1085"/>
        <w:gridCol w:w="1023"/>
        <w:gridCol w:w="1021"/>
        <w:gridCol w:w="1021"/>
        <w:gridCol w:w="1023"/>
      </w:tblGrid>
      <w:tr w:rsidR="00E66652" w:rsidRPr="00E66652" w14:paraId="3AD1F793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Merge w:val="restart"/>
            <w:hideMark/>
          </w:tcPr>
          <w:p w14:paraId="45218D97" w14:textId="77777777" w:rsidR="00E66652" w:rsidRPr="00E66652" w:rsidRDefault="00E66652" w:rsidP="00E66652">
            <w:pPr>
              <w:rPr>
                <w:rFonts w:ascii="Arial" w:hAnsi="Arial" w:cs="Arial"/>
                <w:szCs w:val="22"/>
              </w:rPr>
            </w:pPr>
            <w:bookmarkStart w:id="128" w:name="_Toc191048997"/>
            <w:bookmarkStart w:id="129" w:name="_Toc191357887"/>
            <w:bookmarkStart w:id="130" w:name="_Toc191614423"/>
            <w:bookmarkEnd w:id="124"/>
            <w:r w:rsidRPr="00E66652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341BD10" w14:textId="77777777" w:rsidR="00E66652" w:rsidRPr="004F5C2F" w:rsidRDefault="00E66652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5C2F">
              <w:rPr>
                <w:rFonts w:ascii="Arial" w:hAnsi="Arial" w:cs="Arial"/>
                <w:color w:val="000000" w:themeColor="text1"/>
                <w:sz w:val="16"/>
                <w:szCs w:val="16"/>
              </w:rPr>
              <w:t>Ostvareno</w:t>
            </w:r>
          </w:p>
        </w:tc>
        <w:tc>
          <w:tcPr>
            <w:tcW w:w="950" w:type="dxa"/>
            <w:vAlign w:val="center"/>
            <w:hideMark/>
          </w:tcPr>
          <w:p w14:paraId="7BFED52B" w14:textId="77777777" w:rsidR="00E66652" w:rsidRPr="004F5C2F" w:rsidRDefault="00E66652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5C2F">
              <w:rPr>
                <w:rFonts w:ascii="Arial" w:hAnsi="Arial" w:cs="Arial"/>
                <w:color w:val="000000" w:themeColor="text1"/>
                <w:sz w:val="16"/>
                <w:szCs w:val="16"/>
              </w:rPr>
              <w:t>Plan</w:t>
            </w:r>
          </w:p>
        </w:tc>
        <w:tc>
          <w:tcPr>
            <w:tcW w:w="2848" w:type="dxa"/>
            <w:gridSpan w:val="3"/>
            <w:vAlign w:val="center"/>
            <w:hideMark/>
          </w:tcPr>
          <w:p w14:paraId="7A44C1F6" w14:textId="77777777" w:rsidR="00E66652" w:rsidRPr="004F5C2F" w:rsidRDefault="00E66652" w:rsidP="004F5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F5C2F">
              <w:rPr>
                <w:rFonts w:ascii="Arial" w:hAnsi="Arial" w:cs="Arial"/>
                <w:color w:val="000000" w:themeColor="text1"/>
                <w:sz w:val="16"/>
                <w:szCs w:val="16"/>
              </w:rPr>
              <w:t>Prognoza</w:t>
            </w:r>
          </w:p>
        </w:tc>
      </w:tr>
      <w:tr w:rsidR="00E66652" w:rsidRPr="00E66652" w14:paraId="651E849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Merge/>
            <w:hideMark/>
          </w:tcPr>
          <w:p w14:paraId="241389F6" w14:textId="77777777" w:rsidR="00E66652" w:rsidRPr="00E66652" w:rsidRDefault="00E66652" w:rsidP="00E6665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1" w:type="dxa"/>
            <w:vAlign w:val="center"/>
            <w:hideMark/>
          </w:tcPr>
          <w:p w14:paraId="1CA067C1" w14:textId="2F7FAC80" w:rsidR="00E66652" w:rsidRPr="00E66652" w:rsidRDefault="007E0EDF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42A0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E66652" w:rsidRPr="00E6665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vAlign w:val="center"/>
            <w:hideMark/>
          </w:tcPr>
          <w:p w14:paraId="50B9123B" w14:textId="14277D52" w:rsidR="00E66652" w:rsidRPr="00E66652" w:rsidRDefault="007E0EDF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42A0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E66652" w:rsidRPr="00E6665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9" w:type="dxa"/>
            <w:vAlign w:val="center"/>
            <w:hideMark/>
          </w:tcPr>
          <w:p w14:paraId="66FD4756" w14:textId="6756411D" w:rsidR="00E66652" w:rsidRPr="00E66652" w:rsidRDefault="007E0EDF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42A0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E66652" w:rsidRPr="00E6665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9" w:type="dxa"/>
            <w:vAlign w:val="center"/>
            <w:hideMark/>
          </w:tcPr>
          <w:p w14:paraId="1DA68948" w14:textId="4F4852DB" w:rsidR="00E66652" w:rsidRPr="00E66652" w:rsidRDefault="007E0EDF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42A0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E66652" w:rsidRPr="00E6665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50" w:type="dxa"/>
            <w:vAlign w:val="center"/>
            <w:hideMark/>
          </w:tcPr>
          <w:p w14:paraId="18ED5D3C" w14:textId="134828AA" w:rsidR="00E66652" w:rsidRPr="00E66652" w:rsidRDefault="007E0EDF" w:rsidP="00361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642A0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E66652" w:rsidRPr="00E6665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E66652" w:rsidRPr="00E66652" w14:paraId="4AE8504C" w14:textId="77777777" w:rsidTr="0082227C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5ED24F41" w14:textId="77777777" w:rsidR="00E66652" w:rsidRPr="00E66652" w:rsidRDefault="00E66652" w:rsidP="004F5C2F">
            <w:pPr>
              <w:rPr>
                <w:rFonts w:ascii="Arial" w:hAnsi="Arial" w:cs="Arial"/>
                <w:sz w:val="18"/>
                <w:szCs w:val="18"/>
              </w:rPr>
            </w:pPr>
            <w:r w:rsidRPr="00E66652">
              <w:rPr>
                <w:rFonts w:ascii="Arial" w:hAnsi="Arial" w:cs="Arial"/>
                <w:sz w:val="18"/>
                <w:szCs w:val="18"/>
              </w:rPr>
              <w:t>UKUPNI KAPITALNI IZDATCI</w:t>
            </w:r>
          </w:p>
        </w:tc>
        <w:tc>
          <w:tcPr>
            <w:tcW w:w="1001" w:type="dxa"/>
            <w:vAlign w:val="center"/>
            <w:hideMark/>
          </w:tcPr>
          <w:p w14:paraId="453750BF" w14:textId="0EB34B46" w:rsidR="00E66652" w:rsidRPr="00E66652" w:rsidRDefault="00642A07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5,13</w:t>
            </w:r>
          </w:p>
        </w:tc>
        <w:tc>
          <w:tcPr>
            <w:tcW w:w="950" w:type="dxa"/>
            <w:vAlign w:val="center"/>
            <w:hideMark/>
          </w:tcPr>
          <w:p w14:paraId="76218AF2" w14:textId="3D47D237" w:rsidR="00E66652" w:rsidRPr="00E66652" w:rsidRDefault="004A4E98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2A07">
              <w:rPr>
                <w:rFonts w:ascii="Arial" w:hAnsi="Arial" w:cs="Arial"/>
                <w:b/>
                <w:bCs/>
                <w:sz w:val="18"/>
                <w:szCs w:val="18"/>
              </w:rPr>
              <w:t>2,67</w:t>
            </w:r>
          </w:p>
        </w:tc>
        <w:tc>
          <w:tcPr>
            <w:tcW w:w="949" w:type="dxa"/>
            <w:vAlign w:val="center"/>
            <w:hideMark/>
          </w:tcPr>
          <w:p w14:paraId="7FDC64C4" w14:textId="39B1A133" w:rsidR="00E66652" w:rsidRPr="00E66652" w:rsidRDefault="004A4E98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12,</w:t>
            </w:r>
            <w:r w:rsidR="00642A07">
              <w:rPr>
                <w:rFonts w:ascii="Arial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949" w:type="dxa"/>
            <w:vAlign w:val="center"/>
            <w:hideMark/>
          </w:tcPr>
          <w:p w14:paraId="4512A0F9" w14:textId="24943E31" w:rsidR="00E66652" w:rsidRPr="00E66652" w:rsidRDefault="004A4E98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2A07">
              <w:rPr>
                <w:rFonts w:ascii="Arial" w:hAnsi="Arial" w:cs="Arial"/>
                <w:b/>
                <w:bCs/>
                <w:sz w:val="18"/>
                <w:szCs w:val="18"/>
              </w:rPr>
              <w:t>4,30</w:t>
            </w:r>
          </w:p>
        </w:tc>
        <w:tc>
          <w:tcPr>
            <w:tcW w:w="950" w:type="dxa"/>
            <w:vAlign w:val="center"/>
            <w:hideMark/>
          </w:tcPr>
          <w:p w14:paraId="76B64E57" w14:textId="7D360CEE" w:rsidR="00E66652" w:rsidRPr="00E66652" w:rsidRDefault="004A4E98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2A07">
              <w:rPr>
                <w:rFonts w:ascii="Arial" w:hAnsi="Arial" w:cs="Arial"/>
                <w:b/>
                <w:bCs/>
                <w:sz w:val="18"/>
                <w:szCs w:val="18"/>
              </w:rPr>
              <w:t>5,70</w:t>
            </w:r>
          </w:p>
        </w:tc>
      </w:tr>
      <w:tr w:rsidR="00E66652" w:rsidRPr="00E66652" w14:paraId="11641775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4D5D54A4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 xml:space="preserve">Kapitalne potpore-garantovi </w:t>
            </w:r>
          </w:p>
        </w:tc>
        <w:tc>
          <w:tcPr>
            <w:tcW w:w="1001" w:type="dxa"/>
            <w:vAlign w:val="center"/>
            <w:hideMark/>
          </w:tcPr>
          <w:p w14:paraId="1084FA0A" w14:textId="7ED8FA87" w:rsidR="00E66652" w:rsidRPr="00E66652" w:rsidRDefault="00B2464E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4,21</w:t>
            </w:r>
          </w:p>
        </w:tc>
        <w:tc>
          <w:tcPr>
            <w:tcW w:w="950" w:type="dxa"/>
            <w:vAlign w:val="center"/>
            <w:hideMark/>
          </w:tcPr>
          <w:p w14:paraId="5878F8AB" w14:textId="5271CF37" w:rsidR="00E66652" w:rsidRPr="00E66652" w:rsidRDefault="00B2464E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3,82</w:t>
            </w:r>
          </w:p>
        </w:tc>
        <w:tc>
          <w:tcPr>
            <w:tcW w:w="949" w:type="dxa"/>
            <w:vAlign w:val="center"/>
            <w:hideMark/>
          </w:tcPr>
          <w:p w14:paraId="33E8AA50" w14:textId="6F551604" w:rsidR="00E66652" w:rsidRPr="00E66652" w:rsidRDefault="00B2464E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4,01</w:t>
            </w:r>
          </w:p>
        </w:tc>
        <w:tc>
          <w:tcPr>
            <w:tcW w:w="949" w:type="dxa"/>
            <w:vAlign w:val="center"/>
            <w:hideMark/>
          </w:tcPr>
          <w:p w14:paraId="7FDA9201" w14:textId="1748128F" w:rsidR="00E66652" w:rsidRPr="00E66652" w:rsidRDefault="004D5A19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4,21</w:t>
            </w:r>
          </w:p>
        </w:tc>
        <w:tc>
          <w:tcPr>
            <w:tcW w:w="950" w:type="dxa"/>
            <w:vAlign w:val="center"/>
            <w:hideMark/>
          </w:tcPr>
          <w:p w14:paraId="7F20337C" w14:textId="3D1B2994" w:rsidR="00E66652" w:rsidRPr="00E66652" w:rsidRDefault="004D5A19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4,22</w:t>
            </w:r>
          </w:p>
        </w:tc>
      </w:tr>
      <w:tr w:rsidR="00E66652" w:rsidRPr="00E66652" w14:paraId="4307C3BB" w14:textId="77777777" w:rsidTr="0082227C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47E49D46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>Izdatci za kamate i ostale naknade</w:t>
            </w:r>
          </w:p>
        </w:tc>
        <w:tc>
          <w:tcPr>
            <w:tcW w:w="1001" w:type="dxa"/>
            <w:vAlign w:val="center"/>
            <w:hideMark/>
          </w:tcPr>
          <w:p w14:paraId="287261FE" w14:textId="452CEE43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</w:t>
            </w:r>
            <w:r w:rsidR="004D5A1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0" w:type="dxa"/>
            <w:vAlign w:val="center"/>
            <w:hideMark/>
          </w:tcPr>
          <w:p w14:paraId="472625C3" w14:textId="50FC77F2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</w:t>
            </w:r>
            <w:r w:rsidR="006B29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9" w:type="dxa"/>
            <w:vAlign w:val="center"/>
            <w:hideMark/>
          </w:tcPr>
          <w:p w14:paraId="1D83978A" w14:textId="0BF48833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</w:t>
            </w:r>
            <w:r w:rsidR="006B29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9" w:type="dxa"/>
            <w:vAlign w:val="center"/>
            <w:hideMark/>
          </w:tcPr>
          <w:p w14:paraId="5C59399C" w14:textId="5BED2C42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</w:t>
            </w:r>
            <w:r w:rsidR="006B29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vAlign w:val="center"/>
            <w:hideMark/>
          </w:tcPr>
          <w:p w14:paraId="66040384" w14:textId="6D613666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</w:t>
            </w:r>
            <w:r w:rsidR="006B298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66652" w:rsidRPr="00E66652" w14:paraId="730999D4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1BECC28A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>Nabava stalnih sredstava</w:t>
            </w:r>
          </w:p>
        </w:tc>
        <w:tc>
          <w:tcPr>
            <w:tcW w:w="1001" w:type="dxa"/>
            <w:vAlign w:val="center"/>
            <w:hideMark/>
          </w:tcPr>
          <w:p w14:paraId="64EFE74C" w14:textId="283E5012" w:rsidR="00E66652" w:rsidRPr="00E66652" w:rsidRDefault="006B298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0,63</w:t>
            </w:r>
          </w:p>
        </w:tc>
        <w:tc>
          <w:tcPr>
            <w:tcW w:w="950" w:type="dxa"/>
            <w:vAlign w:val="center"/>
            <w:hideMark/>
          </w:tcPr>
          <w:p w14:paraId="62892D2B" w14:textId="083910D1" w:rsidR="00E66652" w:rsidRPr="00E66652" w:rsidRDefault="006B298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8,57</w:t>
            </w:r>
          </w:p>
        </w:tc>
        <w:tc>
          <w:tcPr>
            <w:tcW w:w="949" w:type="dxa"/>
            <w:vAlign w:val="center"/>
            <w:hideMark/>
          </w:tcPr>
          <w:p w14:paraId="4396AD4D" w14:textId="70B9F06D" w:rsidR="00E66652" w:rsidRPr="00E66652" w:rsidRDefault="006B298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8,59</w:t>
            </w:r>
          </w:p>
        </w:tc>
        <w:tc>
          <w:tcPr>
            <w:tcW w:w="949" w:type="dxa"/>
            <w:vAlign w:val="center"/>
            <w:hideMark/>
          </w:tcPr>
          <w:p w14:paraId="06834548" w14:textId="77D6A773" w:rsidR="00E66652" w:rsidRPr="00E66652" w:rsidRDefault="006B298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9,57</w:t>
            </w:r>
          </w:p>
        </w:tc>
        <w:tc>
          <w:tcPr>
            <w:tcW w:w="950" w:type="dxa"/>
            <w:vAlign w:val="center"/>
            <w:hideMark/>
          </w:tcPr>
          <w:p w14:paraId="75059A9E" w14:textId="11EB9C13" w:rsidR="00E66652" w:rsidRPr="00E66652" w:rsidRDefault="006B298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11,76</w:t>
            </w:r>
          </w:p>
        </w:tc>
      </w:tr>
      <w:tr w:rsidR="00E66652" w:rsidRPr="00E66652" w14:paraId="63D38B2C" w14:textId="77777777" w:rsidTr="0082227C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525F52B9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>Pozajmljivanje i učešće u dionicama</w:t>
            </w:r>
          </w:p>
        </w:tc>
        <w:tc>
          <w:tcPr>
            <w:tcW w:w="1001" w:type="dxa"/>
            <w:vAlign w:val="center"/>
            <w:hideMark/>
          </w:tcPr>
          <w:p w14:paraId="2DF57506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50" w:type="dxa"/>
            <w:vAlign w:val="center"/>
            <w:hideMark/>
          </w:tcPr>
          <w:p w14:paraId="3C973DA6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9" w:type="dxa"/>
            <w:vAlign w:val="center"/>
            <w:hideMark/>
          </w:tcPr>
          <w:p w14:paraId="1124D450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9" w:type="dxa"/>
            <w:vAlign w:val="center"/>
            <w:hideMark/>
          </w:tcPr>
          <w:p w14:paraId="4CF1ADB8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50" w:type="dxa"/>
            <w:vAlign w:val="center"/>
            <w:hideMark/>
          </w:tcPr>
          <w:p w14:paraId="6EA24F92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E66652" w:rsidRPr="00E66652" w14:paraId="5DCB3D41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458F0FFE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>Otplata duga</w:t>
            </w:r>
          </w:p>
        </w:tc>
        <w:tc>
          <w:tcPr>
            <w:tcW w:w="1001" w:type="dxa"/>
            <w:vAlign w:val="center"/>
            <w:hideMark/>
          </w:tcPr>
          <w:p w14:paraId="1C656A87" w14:textId="6F1DBCAE" w:rsidR="00E66652" w:rsidRPr="00E66652" w:rsidRDefault="00E66652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</w:t>
            </w:r>
            <w:r w:rsidR="006B29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vAlign w:val="center"/>
            <w:hideMark/>
          </w:tcPr>
          <w:p w14:paraId="79B47C0E" w14:textId="43753C1E" w:rsidR="00E66652" w:rsidRPr="00E66652" w:rsidRDefault="00E66652" w:rsidP="004A4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</w:t>
            </w:r>
            <w:r w:rsidR="006B29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49" w:type="dxa"/>
            <w:vAlign w:val="center"/>
            <w:hideMark/>
          </w:tcPr>
          <w:p w14:paraId="1C081C13" w14:textId="228032CC" w:rsidR="00E66652" w:rsidRPr="00E66652" w:rsidRDefault="004A4E9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6B29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49" w:type="dxa"/>
            <w:vAlign w:val="center"/>
            <w:hideMark/>
          </w:tcPr>
          <w:p w14:paraId="7E29C975" w14:textId="1CDD8238" w:rsidR="00E66652" w:rsidRPr="00E66652" w:rsidRDefault="004A4E9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6B29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50" w:type="dxa"/>
            <w:vAlign w:val="center"/>
            <w:hideMark/>
          </w:tcPr>
          <w:p w14:paraId="2422956D" w14:textId="0672E905" w:rsidR="00E66652" w:rsidRPr="00E66652" w:rsidRDefault="004A4E98" w:rsidP="004F5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6B298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E66652" w:rsidRPr="00E66652" w14:paraId="203466B7" w14:textId="77777777" w:rsidTr="0082227C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vAlign w:val="center"/>
            <w:hideMark/>
          </w:tcPr>
          <w:p w14:paraId="58F9CB77" w14:textId="77777777" w:rsidR="00E66652" w:rsidRPr="003E2DE3" w:rsidRDefault="00E66652" w:rsidP="004F5C2F">
            <w:pPr>
              <w:rPr>
                <w:rFonts w:ascii="Arial" w:hAnsi="Arial" w:cs="Arial"/>
                <w:b w:val="0"/>
                <w:sz w:val="17"/>
                <w:szCs w:val="17"/>
              </w:rPr>
            </w:pPr>
            <w:r w:rsidRPr="003E2DE3">
              <w:rPr>
                <w:rFonts w:ascii="Arial" w:hAnsi="Arial" w:cs="Arial"/>
                <w:b w:val="0"/>
                <w:sz w:val="17"/>
                <w:szCs w:val="17"/>
              </w:rPr>
              <w:t>Ostali kapitalni izdatci</w:t>
            </w:r>
          </w:p>
        </w:tc>
        <w:tc>
          <w:tcPr>
            <w:tcW w:w="1001" w:type="dxa"/>
            <w:vAlign w:val="center"/>
            <w:hideMark/>
          </w:tcPr>
          <w:p w14:paraId="01FF80CE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50" w:type="dxa"/>
            <w:vAlign w:val="center"/>
            <w:hideMark/>
          </w:tcPr>
          <w:p w14:paraId="41FD19E1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9" w:type="dxa"/>
            <w:vAlign w:val="center"/>
            <w:hideMark/>
          </w:tcPr>
          <w:p w14:paraId="25D6ABAD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9" w:type="dxa"/>
            <w:vAlign w:val="center"/>
            <w:hideMark/>
          </w:tcPr>
          <w:p w14:paraId="3784DBA6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50" w:type="dxa"/>
            <w:vAlign w:val="center"/>
            <w:hideMark/>
          </w:tcPr>
          <w:p w14:paraId="7EEB33EF" w14:textId="77777777" w:rsidR="00E66652" w:rsidRPr="00E66652" w:rsidRDefault="00E66652" w:rsidP="004F5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66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15553CF2" w14:textId="77777777" w:rsidR="00CF152E" w:rsidRDefault="00CF152E" w:rsidP="00CF152E">
      <w:pPr>
        <w:jc w:val="both"/>
      </w:pPr>
    </w:p>
    <w:p w14:paraId="020FC7D1" w14:textId="77777777" w:rsidR="00CF152E" w:rsidRPr="00A315B4" w:rsidRDefault="00CF152E" w:rsidP="00CF152E">
      <w:pPr>
        <w:jc w:val="both"/>
        <w:rPr>
          <w:i/>
        </w:rPr>
      </w:pPr>
      <w:r w:rsidRPr="00A315B4">
        <w:rPr>
          <w:i/>
        </w:rPr>
        <w:t>Napomena: kapitalne potpore/garantovi i izdatci za kamate i ostale naknade prema strukturi Proračuna Hercegbosanske županije, a sukladno ekonomskoj klasifikaciji računa nalaze se u tekućem dijelu Proračuna, o čemu treba voditi računa prilikom uspoređivanja iznosa ovih kapitalnih izdataka sa iznosima ist</w:t>
      </w:r>
      <w:r w:rsidR="00192067" w:rsidRPr="00A315B4">
        <w:rPr>
          <w:i/>
        </w:rPr>
        <w:t>ih u ostalim poglavljima ovoga d</w:t>
      </w:r>
      <w:r w:rsidRPr="00A315B4">
        <w:rPr>
          <w:i/>
        </w:rPr>
        <w:t>okumenta.</w:t>
      </w:r>
      <w:bookmarkEnd w:id="128"/>
      <w:bookmarkEnd w:id="129"/>
      <w:bookmarkEnd w:id="130"/>
    </w:p>
    <w:p w14:paraId="32713D5F" w14:textId="77777777" w:rsidR="00CF152E" w:rsidRDefault="00CF152E" w:rsidP="00CF152E"/>
    <w:p w14:paraId="3D4C31F1" w14:textId="77777777" w:rsidR="00CF152E" w:rsidRPr="00CF152E" w:rsidRDefault="00CF152E" w:rsidP="00CF152E"/>
    <w:p w14:paraId="2F24BF85" w14:textId="77777777" w:rsidR="00CF152E" w:rsidRPr="00CF152E" w:rsidRDefault="00CF152E" w:rsidP="00CF152E"/>
    <w:p w14:paraId="2FD42A68" w14:textId="77777777" w:rsidR="00CF152E" w:rsidRPr="00CF152E" w:rsidRDefault="00CF152E" w:rsidP="00CF152E"/>
    <w:p w14:paraId="796BB07E" w14:textId="77777777" w:rsidR="00CF152E" w:rsidRPr="00CF152E" w:rsidRDefault="00CF152E" w:rsidP="00CF152E"/>
    <w:p w14:paraId="335ED460" w14:textId="77777777" w:rsidR="00CF152E" w:rsidRPr="00CF152E" w:rsidRDefault="00CF152E" w:rsidP="00CF152E"/>
    <w:p w14:paraId="5806316D" w14:textId="77777777" w:rsidR="00CF152E" w:rsidRPr="00CF152E" w:rsidRDefault="00CF152E" w:rsidP="00CF152E"/>
    <w:p w14:paraId="00A3188A" w14:textId="77777777" w:rsidR="00CF152E" w:rsidRPr="00CF152E" w:rsidRDefault="00CF152E" w:rsidP="00CF152E"/>
    <w:p w14:paraId="0BF115DE" w14:textId="77777777" w:rsidR="00CF152E" w:rsidRPr="00CF152E" w:rsidRDefault="00CF152E" w:rsidP="00CF152E"/>
    <w:p w14:paraId="3AE08DD0" w14:textId="77777777" w:rsidR="00CF152E" w:rsidRPr="00CF152E" w:rsidRDefault="00CF152E" w:rsidP="00CF152E"/>
    <w:p w14:paraId="53AD3153" w14:textId="77777777" w:rsidR="00CF152E" w:rsidRPr="00CF152E" w:rsidRDefault="00CF152E" w:rsidP="00CF152E"/>
    <w:p w14:paraId="364A2DB2" w14:textId="77777777" w:rsidR="00CF152E" w:rsidRPr="00CF152E" w:rsidRDefault="00CF152E" w:rsidP="00CF152E"/>
    <w:p w14:paraId="56C7D8C2" w14:textId="77777777" w:rsidR="00CF152E" w:rsidRPr="00CF152E" w:rsidRDefault="00CF152E" w:rsidP="00CF152E"/>
    <w:p w14:paraId="4BD3752D" w14:textId="77777777" w:rsidR="00CF152E" w:rsidRPr="00CF152E" w:rsidRDefault="00CF152E" w:rsidP="00CF152E"/>
    <w:p w14:paraId="0A430C01" w14:textId="77777777" w:rsidR="00CF152E" w:rsidRPr="00CF152E" w:rsidRDefault="00CF152E" w:rsidP="00CF152E"/>
    <w:p w14:paraId="49302EDF" w14:textId="77777777" w:rsidR="00CF152E" w:rsidRPr="00CF152E" w:rsidRDefault="00CF152E" w:rsidP="00CF152E"/>
    <w:p w14:paraId="5882F6CE" w14:textId="77777777" w:rsidR="00CF152E" w:rsidRPr="00CF152E" w:rsidRDefault="00CF152E" w:rsidP="00CF152E"/>
    <w:p w14:paraId="334315DA" w14:textId="77777777" w:rsidR="00CF152E" w:rsidRDefault="00CF152E" w:rsidP="00CF152E"/>
    <w:p w14:paraId="2FAA1DF2" w14:textId="77777777" w:rsidR="00CF152E" w:rsidRDefault="00CF152E">
      <w:pPr>
        <w:spacing w:after="200" w:line="276" w:lineRule="auto"/>
      </w:pPr>
    </w:p>
    <w:p w14:paraId="2C4B86E9" w14:textId="77777777" w:rsidR="00CF152E" w:rsidRDefault="00CF152E" w:rsidP="00CF152E">
      <w:pPr>
        <w:pStyle w:val="Naslov1"/>
      </w:pPr>
      <w:bookmarkStart w:id="131" w:name="_Toc106015350"/>
      <w:bookmarkStart w:id="132" w:name="_Toc232407842"/>
      <w:r>
        <w:lastRenderedPageBreak/>
        <w:t>Poglavlje 5: Strategija upravljanja dugom</w:t>
      </w:r>
      <w:bookmarkEnd w:id="131"/>
      <w:bookmarkEnd w:id="132"/>
    </w:p>
    <w:p w14:paraId="688362BF" w14:textId="77777777" w:rsidR="00CF152E" w:rsidRDefault="00CF152E" w:rsidP="00CF152E">
      <w:pPr>
        <w:pStyle w:val="Heading2-BFP"/>
      </w:pPr>
    </w:p>
    <w:p w14:paraId="13702BE1" w14:textId="77777777" w:rsidR="00CF152E" w:rsidRDefault="00CF152E" w:rsidP="00CF152E">
      <w:pPr>
        <w:pStyle w:val="Naslov2"/>
      </w:pPr>
      <w:bookmarkStart w:id="133" w:name="_Toc106015351"/>
      <w:bookmarkStart w:id="134" w:name="_Toc232407843"/>
      <w:r>
        <w:t>5.1. Razina unutarnjeg duga</w:t>
      </w:r>
      <w:bookmarkEnd w:id="133"/>
      <w:bookmarkEnd w:id="134"/>
    </w:p>
    <w:p w14:paraId="51501F31" w14:textId="77777777" w:rsidR="00CF152E" w:rsidRPr="005F4C96" w:rsidRDefault="00CF152E" w:rsidP="00CF152E"/>
    <w:p w14:paraId="09C98D72" w14:textId="59F25C08" w:rsidR="00CF152E" w:rsidRPr="00A315B4" w:rsidRDefault="00CF152E" w:rsidP="00CF152E">
      <w:pPr>
        <w:spacing w:after="120"/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Dug Hercegbosanske županije uglavnom se sastoji od neizmirenih obveza prema dobavljačima i neizmirenih obveza prema djelatnicima, </w:t>
      </w:r>
      <w:r w:rsidR="00371379" w:rsidRPr="00A315B4">
        <w:rPr>
          <w:sz w:val="24"/>
          <w:szCs w:val="24"/>
        </w:rPr>
        <w:t>kratkoročni krediti i zajmovi</w:t>
      </w:r>
      <w:r w:rsidRPr="00A315B4">
        <w:rPr>
          <w:sz w:val="24"/>
          <w:szCs w:val="24"/>
        </w:rPr>
        <w:t>, financijski obračunski odnosi i kratkoročna razgraničenja. Ukupna razina ovih</w:t>
      </w:r>
      <w:r w:rsidR="001923D9" w:rsidRPr="00A315B4">
        <w:rPr>
          <w:sz w:val="24"/>
          <w:szCs w:val="24"/>
        </w:rPr>
        <w:t xml:space="preserve"> obveza na dan 31. prosinca 202</w:t>
      </w:r>
      <w:r w:rsidR="001927FA">
        <w:rPr>
          <w:sz w:val="24"/>
          <w:szCs w:val="24"/>
        </w:rPr>
        <w:t>5</w:t>
      </w:r>
      <w:r w:rsidRPr="00A315B4">
        <w:rPr>
          <w:sz w:val="24"/>
          <w:szCs w:val="24"/>
        </w:rPr>
        <w:t>.</w:t>
      </w:r>
      <w:r w:rsidR="00371379" w:rsidRPr="00A315B4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>godine prema konsolidiran</w:t>
      </w:r>
      <w:r w:rsidR="00371379" w:rsidRPr="00A315B4">
        <w:rPr>
          <w:sz w:val="24"/>
          <w:szCs w:val="24"/>
        </w:rPr>
        <w:t xml:space="preserve">oj bruto </w:t>
      </w:r>
      <w:r w:rsidR="00CE7D81" w:rsidRPr="00A315B4">
        <w:rPr>
          <w:sz w:val="24"/>
          <w:szCs w:val="24"/>
        </w:rPr>
        <w:t xml:space="preserve">bilanci iznosi </w:t>
      </w:r>
      <w:r w:rsidR="00C45B8A">
        <w:rPr>
          <w:sz w:val="24"/>
          <w:szCs w:val="24"/>
        </w:rPr>
        <w:t>32.215.975</w:t>
      </w:r>
      <w:r w:rsidRPr="00A315B4">
        <w:rPr>
          <w:sz w:val="24"/>
          <w:szCs w:val="24"/>
        </w:rPr>
        <w:t>,00 KM.</w:t>
      </w:r>
    </w:p>
    <w:p w14:paraId="1443FE72" w14:textId="77777777" w:rsidR="00CF152E" w:rsidRPr="00621D74" w:rsidRDefault="00CF152E" w:rsidP="00CF152E">
      <w:pPr>
        <w:spacing w:after="120"/>
        <w:jc w:val="both"/>
        <w:rPr>
          <w:sz w:val="24"/>
          <w:szCs w:val="24"/>
        </w:rPr>
      </w:pPr>
    </w:p>
    <w:p w14:paraId="0F851F74" w14:textId="77777777" w:rsidR="00CF152E" w:rsidRPr="00621D74" w:rsidRDefault="00CF152E" w:rsidP="00CF152E">
      <w:pPr>
        <w:jc w:val="both"/>
        <w:rPr>
          <w:b/>
          <w:sz w:val="24"/>
          <w:szCs w:val="24"/>
        </w:rPr>
      </w:pPr>
      <w:bookmarkStart w:id="135" w:name="_Toc190228473"/>
      <w:r w:rsidRPr="00621D74">
        <w:rPr>
          <w:b/>
          <w:sz w:val="24"/>
          <w:szCs w:val="24"/>
        </w:rPr>
        <w:t xml:space="preserve">Obveze </w:t>
      </w:r>
    </w:p>
    <w:p w14:paraId="011455EC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0430FBBB" w14:textId="5DE01156" w:rsidR="00CF152E" w:rsidRPr="00621D74" w:rsidRDefault="00CF152E" w:rsidP="00371379">
      <w:pPr>
        <w:jc w:val="both"/>
        <w:rPr>
          <w:sz w:val="24"/>
          <w:szCs w:val="24"/>
        </w:rPr>
      </w:pPr>
      <w:r w:rsidRPr="00621D74">
        <w:rPr>
          <w:sz w:val="24"/>
          <w:szCs w:val="24"/>
        </w:rPr>
        <w:t>Kratkor</w:t>
      </w:r>
      <w:r w:rsidR="00371379">
        <w:rPr>
          <w:sz w:val="24"/>
          <w:szCs w:val="24"/>
        </w:rPr>
        <w:t>očne</w:t>
      </w:r>
      <w:r w:rsidRPr="00621D74">
        <w:rPr>
          <w:sz w:val="24"/>
          <w:szCs w:val="24"/>
        </w:rPr>
        <w:t xml:space="preserve"> tekuće obveze (obve</w:t>
      </w:r>
      <w:r w:rsidR="00371379">
        <w:rPr>
          <w:sz w:val="24"/>
          <w:szCs w:val="24"/>
        </w:rPr>
        <w:t xml:space="preserve">ze prema dobavljačima)      </w:t>
      </w:r>
      <w:r w:rsidR="00371379">
        <w:rPr>
          <w:sz w:val="24"/>
          <w:szCs w:val="24"/>
        </w:rPr>
        <w:tab/>
        <w:t xml:space="preserve">  </w:t>
      </w:r>
      <w:r w:rsidR="00371379">
        <w:rPr>
          <w:sz w:val="24"/>
          <w:szCs w:val="24"/>
        </w:rPr>
        <w:tab/>
        <w:t xml:space="preserve">    </w:t>
      </w:r>
      <w:r w:rsidR="00C45B8A">
        <w:rPr>
          <w:sz w:val="24"/>
          <w:szCs w:val="24"/>
        </w:rPr>
        <w:t>8.259.393</w:t>
      </w:r>
      <w:r w:rsidRPr="00621D74">
        <w:rPr>
          <w:sz w:val="24"/>
          <w:szCs w:val="24"/>
        </w:rPr>
        <w:t>,00</w:t>
      </w:r>
      <w:r w:rsidR="00371379">
        <w:rPr>
          <w:sz w:val="24"/>
          <w:szCs w:val="24"/>
        </w:rPr>
        <w:t xml:space="preserve"> </w:t>
      </w:r>
      <w:r w:rsidRPr="00621D74">
        <w:rPr>
          <w:sz w:val="24"/>
          <w:szCs w:val="24"/>
        </w:rPr>
        <w:t>KM</w:t>
      </w:r>
    </w:p>
    <w:p w14:paraId="6635E2DD" w14:textId="7C53F072" w:rsidR="00CF152E" w:rsidRPr="00621D74" w:rsidRDefault="00371379" w:rsidP="00371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Financijski </w:t>
      </w:r>
      <w:r w:rsidR="00CF152E" w:rsidRPr="00621D74">
        <w:rPr>
          <w:sz w:val="24"/>
          <w:szCs w:val="24"/>
        </w:rPr>
        <w:t>i obračunski odnosi s dru</w:t>
      </w:r>
      <w:r>
        <w:rPr>
          <w:sz w:val="24"/>
          <w:szCs w:val="24"/>
        </w:rPr>
        <w:t xml:space="preserve">gim povezanim jedinicama       </w:t>
      </w:r>
      <w:r w:rsidR="00CF152E" w:rsidRPr="00621D74">
        <w:rPr>
          <w:sz w:val="24"/>
          <w:szCs w:val="24"/>
        </w:rPr>
        <w:t xml:space="preserve">          </w:t>
      </w:r>
      <w:r w:rsidR="00CE7D81">
        <w:rPr>
          <w:sz w:val="24"/>
          <w:szCs w:val="24"/>
        </w:rPr>
        <w:t xml:space="preserve">      3</w:t>
      </w:r>
      <w:r w:rsidR="00C45B8A">
        <w:rPr>
          <w:sz w:val="24"/>
          <w:szCs w:val="24"/>
        </w:rPr>
        <w:t>45.334</w:t>
      </w:r>
      <w:r w:rsidR="00CF152E" w:rsidRPr="00621D74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="00CF152E" w:rsidRPr="00621D74">
        <w:rPr>
          <w:sz w:val="24"/>
          <w:szCs w:val="24"/>
        </w:rPr>
        <w:t>KM</w:t>
      </w:r>
    </w:p>
    <w:p w14:paraId="3C4D2AE2" w14:textId="0897FDFE" w:rsidR="00CF152E" w:rsidRPr="00621D74" w:rsidRDefault="00CF152E" w:rsidP="00371379">
      <w:pPr>
        <w:jc w:val="both"/>
        <w:rPr>
          <w:sz w:val="24"/>
          <w:szCs w:val="24"/>
        </w:rPr>
      </w:pPr>
      <w:r w:rsidRPr="00621D74">
        <w:rPr>
          <w:sz w:val="24"/>
          <w:szCs w:val="24"/>
        </w:rPr>
        <w:t xml:space="preserve">Kratkoročni krediti i zajmovi                                                                 </w:t>
      </w:r>
      <w:r w:rsidR="00CE7D81">
        <w:rPr>
          <w:sz w:val="24"/>
          <w:szCs w:val="24"/>
        </w:rPr>
        <w:t xml:space="preserve">               </w:t>
      </w:r>
      <w:r w:rsidR="00D82381">
        <w:rPr>
          <w:sz w:val="24"/>
          <w:szCs w:val="24"/>
        </w:rPr>
        <w:t xml:space="preserve">  </w:t>
      </w:r>
      <w:r w:rsidR="00C45B8A">
        <w:rPr>
          <w:sz w:val="24"/>
          <w:szCs w:val="24"/>
        </w:rPr>
        <w:t xml:space="preserve">   790</w:t>
      </w:r>
      <w:r w:rsidR="00CE7D81">
        <w:rPr>
          <w:sz w:val="24"/>
          <w:szCs w:val="24"/>
        </w:rPr>
        <w:t>,00</w:t>
      </w:r>
      <w:r w:rsidR="00371379">
        <w:rPr>
          <w:sz w:val="24"/>
          <w:szCs w:val="24"/>
        </w:rPr>
        <w:t xml:space="preserve"> </w:t>
      </w:r>
      <w:r w:rsidRPr="00621D74">
        <w:rPr>
          <w:sz w:val="24"/>
          <w:szCs w:val="24"/>
        </w:rPr>
        <w:t>KM</w:t>
      </w:r>
    </w:p>
    <w:p w14:paraId="7772FE95" w14:textId="7F4D472D" w:rsidR="00CF152E" w:rsidRPr="00621D74" w:rsidRDefault="00CF152E" w:rsidP="00371379">
      <w:pPr>
        <w:jc w:val="both"/>
        <w:rPr>
          <w:sz w:val="24"/>
          <w:szCs w:val="24"/>
        </w:rPr>
      </w:pPr>
      <w:r w:rsidRPr="00621D74">
        <w:rPr>
          <w:sz w:val="24"/>
          <w:szCs w:val="24"/>
        </w:rPr>
        <w:t>Obveze prema djelatnicima</w:t>
      </w:r>
      <w:r w:rsidRPr="00621D74">
        <w:rPr>
          <w:sz w:val="24"/>
          <w:szCs w:val="24"/>
        </w:rPr>
        <w:tab/>
      </w:r>
      <w:r w:rsidRPr="00621D74">
        <w:rPr>
          <w:sz w:val="24"/>
          <w:szCs w:val="24"/>
        </w:rPr>
        <w:tab/>
      </w:r>
      <w:r w:rsidRPr="00621D74">
        <w:rPr>
          <w:sz w:val="24"/>
          <w:szCs w:val="24"/>
        </w:rPr>
        <w:tab/>
        <w:t xml:space="preserve">    </w:t>
      </w:r>
      <w:r w:rsidR="00371379">
        <w:rPr>
          <w:sz w:val="24"/>
          <w:szCs w:val="24"/>
        </w:rPr>
        <w:t xml:space="preserve">                                               </w:t>
      </w:r>
      <w:r w:rsidR="00C45B8A">
        <w:rPr>
          <w:sz w:val="24"/>
          <w:szCs w:val="24"/>
        </w:rPr>
        <w:t>6.887.836</w:t>
      </w:r>
      <w:r w:rsidRPr="00621D74">
        <w:rPr>
          <w:sz w:val="24"/>
          <w:szCs w:val="24"/>
        </w:rPr>
        <w:t>,00</w:t>
      </w:r>
      <w:r w:rsidR="00371379">
        <w:rPr>
          <w:sz w:val="24"/>
          <w:szCs w:val="24"/>
        </w:rPr>
        <w:t xml:space="preserve"> </w:t>
      </w:r>
      <w:r w:rsidRPr="00621D74">
        <w:rPr>
          <w:sz w:val="24"/>
          <w:szCs w:val="24"/>
        </w:rPr>
        <w:t>KM</w:t>
      </w:r>
    </w:p>
    <w:p w14:paraId="119D9C35" w14:textId="32ED9567" w:rsidR="00CF152E" w:rsidRPr="00621D74" w:rsidRDefault="00CF152E" w:rsidP="00371379">
      <w:pPr>
        <w:jc w:val="both"/>
        <w:rPr>
          <w:sz w:val="24"/>
          <w:szCs w:val="24"/>
          <w:u w:val="single"/>
        </w:rPr>
      </w:pPr>
      <w:r w:rsidRPr="00621D74">
        <w:rPr>
          <w:sz w:val="24"/>
          <w:szCs w:val="24"/>
          <w:u w:val="single"/>
        </w:rPr>
        <w:t xml:space="preserve">Kratkoročna razgraničenja </w:t>
      </w:r>
      <w:r w:rsidRPr="00621D74">
        <w:rPr>
          <w:sz w:val="24"/>
          <w:szCs w:val="24"/>
          <w:u w:val="single"/>
        </w:rPr>
        <w:tab/>
      </w:r>
      <w:r w:rsidRPr="00621D74">
        <w:rPr>
          <w:sz w:val="24"/>
          <w:szCs w:val="24"/>
          <w:u w:val="single"/>
        </w:rPr>
        <w:tab/>
      </w:r>
      <w:r w:rsidRPr="00621D74">
        <w:rPr>
          <w:sz w:val="24"/>
          <w:szCs w:val="24"/>
          <w:u w:val="single"/>
        </w:rPr>
        <w:tab/>
      </w:r>
      <w:r w:rsidRPr="00621D74">
        <w:rPr>
          <w:sz w:val="24"/>
          <w:szCs w:val="24"/>
          <w:u w:val="single"/>
        </w:rPr>
        <w:tab/>
      </w:r>
      <w:r w:rsidRPr="00621D74">
        <w:rPr>
          <w:sz w:val="24"/>
          <w:szCs w:val="24"/>
          <w:u w:val="single"/>
        </w:rPr>
        <w:tab/>
        <w:t xml:space="preserve">            </w:t>
      </w:r>
      <w:r w:rsidR="00371379">
        <w:rPr>
          <w:sz w:val="24"/>
          <w:szCs w:val="24"/>
          <w:u w:val="single"/>
        </w:rPr>
        <w:t xml:space="preserve">       </w:t>
      </w:r>
      <w:r w:rsidR="00726BD6">
        <w:rPr>
          <w:sz w:val="24"/>
          <w:szCs w:val="24"/>
          <w:u w:val="single"/>
        </w:rPr>
        <w:t xml:space="preserve">     </w:t>
      </w:r>
      <w:r w:rsidR="00CE7D81">
        <w:rPr>
          <w:sz w:val="24"/>
          <w:szCs w:val="24"/>
          <w:u w:val="single"/>
        </w:rPr>
        <w:t xml:space="preserve">  </w:t>
      </w:r>
      <w:r w:rsidR="00C45B8A">
        <w:rPr>
          <w:sz w:val="24"/>
          <w:szCs w:val="24"/>
          <w:u w:val="single"/>
        </w:rPr>
        <w:t>16.722.622</w:t>
      </w:r>
      <w:r w:rsidRPr="00621D74">
        <w:rPr>
          <w:sz w:val="24"/>
          <w:szCs w:val="24"/>
          <w:u w:val="single"/>
        </w:rPr>
        <w:t>,00</w:t>
      </w:r>
      <w:r w:rsidR="00726BD6">
        <w:rPr>
          <w:sz w:val="24"/>
          <w:szCs w:val="24"/>
          <w:u w:val="single"/>
        </w:rPr>
        <w:t xml:space="preserve"> </w:t>
      </w:r>
      <w:r w:rsidRPr="00621D74">
        <w:rPr>
          <w:sz w:val="24"/>
          <w:szCs w:val="24"/>
          <w:u w:val="single"/>
        </w:rPr>
        <w:t>KM</w:t>
      </w:r>
    </w:p>
    <w:p w14:paraId="667E5D51" w14:textId="1EEB13F7" w:rsidR="00CF152E" w:rsidRPr="00621D74" w:rsidRDefault="00CF152E" w:rsidP="00371379">
      <w:pPr>
        <w:jc w:val="both"/>
        <w:rPr>
          <w:b/>
          <w:sz w:val="24"/>
          <w:szCs w:val="24"/>
        </w:rPr>
      </w:pPr>
      <w:r w:rsidRPr="00621D74">
        <w:rPr>
          <w:b/>
          <w:sz w:val="24"/>
          <w:szCs w:val="24"/>
        </w:rPr>
        <w:t>SVE</w:t>
      </w:r>
      <w:r w:rsidR="00371379">
        <w:rPr>
          <w:b/>
          <w:sz w:val="24"/>
          <w:szCs w:val="24"/>
        </w:rPr>
        <w:t xml:space="preserve"> </w:t>
      </w:r>
      <w:r w:rsidRPr="00621D74">
        <w:rPr>
          <w:b/>
          <w:sz w:val="24"/>
          <w:szCs w:val="24"/>
        </w:rPr>
        <w:t xml:space="preserve">UKUPNO:                                               </w:t>
      </w:r>
      <w:r w:rsidR="00371379">
        <w:rPr>
          <w:b/>
          <w:sz w:val="24"/>
          <w:szCs w:val="24"/>
        </w:rPr>
        <w:t xml:space="preserve">  </w:t>
      </w:r>
      <w:r w:rsidRPr="00621D74">
        <w:rPr>
          <w:b/>
          <w:sz w:val="24"/>
          <w:szCs w:val="24"/>
        </w:rPr>
        <w:t xml:space="preserve">               </w:t>
      </w:r>
      <w:r w:rsidRPr="00621D74">
        <w:rPr>
          <w:b/>
          <w:sz w:val="24"/>
          <w:szCs w:val="24"/>
        </w:rPr>
        <w:tab/>
        <w:t xml:space="preserve">          </w:t>
      </w:r>
      <w:r w:rsidR="00726BD6">
        <w:rPr>
          <w:b/>
          <w:sz w:val="24"/>
          <w:szCs w:val="24"/>
        </w:rPr>
        <w:t xml:space="preserve">       </w:t>
      </w:r>
      <w:r w:rsidR="00CE7D81">
        <w:rPr>
          <w:b/>
          <w:sz w:val="24"/>
          <w:szCs w:val="24"/>
        </w:rPr>
        <w:t xml:space="preserve">       </w:t>
      </w:r>
      <w:r w:rsidR="00C45B8A">
        <w:rPr>
          <w:b/>
          <w:sz w:val="24"/>
          <w:szCs w:val="24"/>
        </w:rPr>
        <w:t>32.215.975</w:t>
      </w:r>
      <w:r w:rsidRPr="00621D74">
        <w:rPr>
          <w:b/>
          <w:sz w:val="24"/>
          <w:szCs w:val="24"/>
        </w:rPr>
        <w:t>,00</w:t>
      </w:r>
      <w:r w:rsidR="00726BD6">
        <w:rPr>
          <w:b/>
          <w:sz w:val="24"/>
          <w:szCs w:val="24"/>
        </w:rPr>
        <w:t xml:space="preserve"> </w:t>
      </w:r>
      <w:r w:rsidRPr="00621D74">
        <w:rPr>
          <w:b/>
          <w:sz w:val="24"/>
          <w:szCs w:val="24"/>
        </w:rPr>
        <w:t>KM</w:t>
      </w:r>
    </w:p>
    <w:p w14:paraId="18CED1E2" w14:textId="77777777" w:rsidR="00CF152E" w:rsidRPr="00621D74" w:rsidRDefault="00CF152E" w:rsidP="00CF152E">
      <w:pPr>
        <w:jc w:val="both"/>
        <w:rPr>
          <w:b/>
          <w:sz w:val="24"/>
          <w:szCs w:val="24"/>
        </w:rPr>
      </w:pPr>
    </w:p>
    <w:p w14:paraId="51567C54" w14:textId="77777777" w:rsidR="00CF152E" w:rsidRPr="00621D74" w:rsidRDefault="00CF152E" w:rsidP="00CF152E">
      <w:pPr>
        <w:jc w:val="both"/>
        <w:rPr>
          <w:b/>
          <w:sz w:val="24"/>
          <w:szCs w:val="24"/>
        </w:rPr>
      </w:pPr>
    </w:p>
    <w:p w14:paraId="7DEC8950" w14:textId="77777777" w:rsidR="00CF152E" w:rsidRPr="00621D74" w:rsidRDefault="00CF152E" w:rsidP="00CF152E">
      <w:pPr>
        <w:rPr>
          <w:b/>
          <w:sz w:val="24"/>
          <w:szCs w:val="24"/>
        </w:rPr>
      </w:pPr>
      <w:r w:rsidRPr="00621D74">
        <w:rPr>
          <w:b/>
          <w:sz w:val="24"/>
          <w:szCs w:val="24"/>
        </w:rPr>
        <w:t>Potraživanja</w:t>
      </w:r>
    </w:p>
    <w:p w14:paraId="765CCA5B" w14:textId="77777777" w:rsidR="00CF152E" w:rsidRPr="00621D74" w:rsidRDefault="00CF152E" w:rsidP="00CF152E">
      <w:pPr>
        <w:rPr>
          <w:b/>
          <w:sz w:val="24"/>
          <w:szCs w:val="24"/>
        </w:rPr>
      </w:pPr>
    </w:p>
    <w:p w14:paraId="60CBEE7B" w14:textId="4B9382A6" w:rsidR="00CF152E" w:rsidRPr="00621D74" w:rsidRDefault="00CF152E" w:rsidP="00CF152E">
      <w:pPr>
        <w:rPr>
          <w:sz w:val="24"/>
          <w:szCs w:val="24"/>
        </w:rPr>
      </w:pPr>
      <w:r w:rsidRPr="00621D74">
        <w:rPr>
          <w:sz w:val="24"/>
          <w:szCs w:val="24"/>
        </w:rPr>
        <w:t xml:space="preserve">Ukupna novčana sredstva                                 </w:t>
      </w:r>
      <w:r w:rsidR="00371379">
        <w:rPr>
          <w:sz w:val="24"/>
          <w:szCs w:val="24"/>
        </w:rPr>
        <w:t xml:space="preserve">                </w:t>
      </w:r>
      <w:r w:rsidR="00CE7D81">
        <w:rPr>
          <w:sz w:val="24"/>
          <w:szCs w:val="24"/>
        </w:rPr>
        <w:t xml:space="preserve">                              </w:t>
      </w:r>
      <w:r w:rsidR="00C45B8A">
        <w:rPr>
          <w:sz w:val="24"/>
          <w:szCs w:val="24"/>
        </w:rPr>
        <w:t>50.815.862</w:t>
      </w:r>
      <w:r w:rsidRPr="00621D74">
        <w:rPr>
          <w:sz w:val="24"/>
          <w:szCs w:val="24"/>
        </w:rPr>
        <w:t>,00</w:t>
      </w:r>
      <w:r w:rsidR="00371379">
        <w:rPr>
          <w:sz w:val="24"/>
          <w:szCs w:val="24"/>
        </w:rPr>
        <w:t xml:space="preserve"> </w:t>
      </w:r>
      <w:r w:rsidRPr="00621D74">
        <w:rPr>
          <w:sz w:val="24"/>
          <w:szCs w:val="24"/>
        </w:rPr>
        <w:t>KM</w:t>
      </w:r>
    </w:p>
    <w:p w14:paraId="0A88D468" w14:textId="256BCE7B" w:rsidR="00CF152E" w:rsidRPr="00621D74" w:rsidRDefault="00CF152E" w:rsidP="00CF152E">
      <w:pPr>
        <w:rPr>
          <w:sz w:val="24"/>
          <w:szCs w:val="24"/>
        </w:rPr>
      </w:pPr>
      <w:r w:rsidRPr="00621D74">
        <w:rPr>
          <w:sz w:val="24"/>
          <w:szCs w:val="24"/>
        </w:rPr>
        <w:t xml:space="preserve">Kratkoročna potraživanja                                                                     </w:t>
      </w:r>
      <w:r w:rsidR="00CE7D81">
        <w:rPr>
          <w:sz w:val="24"/>
          <w:szCs w:val="24"/>
        </w:rPr>
        <w:t xml:space="preserve">            1.</w:t>
      </w:r>
      <w:r w:rsidR="00C45B8A">
        <w:rPr>
          <w:sz w:val="24"/>
          <w:szCs w:val="24"/>
        </w:rPr>
        <w:t>417.973</w:t>
      </w:r>
      <w:r w:rsidRPr="00621D74">
        <w:rPr>
          <w:sz w:val="24"/>
          <w:szCs w:val="24"/>
        </w:rPr>
        <w:t>,00</w:t>
      </w:r>
      <w:r w:rsidR="00371379">
        <w:rPr>
          <w:sz w:val="24"/>
          <w:szCs w:val="24"/>
        </w:rPr>
        <w:t xml:space="preserve"> </w:t>
      </w:r>
      <w:r w:rsidRPr="00621D74">
        <w:rPr>
          <w:sz w:val="24"/>
          <w:szCs w:val="24"/>
        </w:rPr>
        <w:t>KM</w:t>
      </w:r>
    </w:p>
    <w:p w14:paraId="3E494697" w14:textId="05980637" w:rsidR="00CF152E" w:rsidRPr="00621D74" w:rsidRDefault="00CF152E" w:rsidP="00CF152E">
      <w:pPr>
        <w:rPr>
          <w:sz w:val="24"/>
          <w:szCs w:val="24"/>
          <w:u w:val="single"/>
        </w:rPr>
      </w:pPr>
      <w:r w:rsidRPr="00621D74">
        <w:rPr>
          <w:sz w:val="24"/>
          <w:szCs w:val="24"/>
          <w:u w:val="single"/>
        </w:rPr>
        <w:t xml:space="preserve">Ostala kratkoročna razgraničenja                                                             </w:t>
      </w:r>
      <w:r w:rsidR="00371379">
        <w:rPr>
          <w:sz w:val="24"/>
          <w:szCs w:val="24"/>
          <w:u w:val="single"/>
        </w:rPr>
        <w:t xml:space="preserve">           </w:t>
      </w:r>
      <w:r w:rsidR="00C45B8A">
        <w:rPr>
          <w:sz w:val="24"/>
          <w:szCs w:val="24"/>
          <w:u w:val="single"/>
        </w:rPr>
        <w:t>861.565</w:t>
      </w:r>
      <w:r w:rsidRPr="00621D74">
        <w:rPr>
          <w:sz w:val="24"/>
          <w:szCs w:val="24"/>
          <w:u w:val="single"/>
        </w:rPr>
        <w:t>,00</w:t>
      </w:r>
      <w:r w:rsidR="00371379">
        <w:rPr>
          <w:sz w:val="24"/>
          <w:szCs w:val="24"/>
          <w:u w:val="single"/>
        </w:rPr>
        <w:t xml:space="preserve"> </w:t>
      </w:r>
      <w:r w:rsidRPr="00621D74">
        <w:rPr>
          <w:sz w:val="24"/>
          <w:szCs w:val="24"/>
          <w:u w:val="single"/>
        </w:rPr>
        <w:t>KM</w:t>
      </w:r>
    </w:p>
    <w:p w14:paraId="1C25DA29" w14:textId="61D0D928" w:rsidR="00CF152E" w:rsidRPr="00621D74" w:rsidRDefault="00CF152E" w:rsidP="00CF152E">
      <w:pPr>
        <w:rPr>
          <w:b/>
          <w:sz w:val="24"/>
          <w:szCs w:val="24"/>
        </w:rPr>
      </w:pPr>
      <w:r w:rsidRPr="00621D74">
        <w:rPr>
          <w:b/>
          <w:sz w:val="24"/>
          <w:szCs w:val="24"/>
        </w:rPr>
        <w:t>SVE</w:t>
      </w:r>
      <w:r w:rsidR="00371379">
        <w:rPr>
          <w:b/>
          <w:sz w:val="24"/>
          <w:szCs w:val="24"/>
        </w:rPr>
        <w:t xml:space="preserve"> </w:t>
      </w:r>
      <w:r w:rsidRPr="00621D74">
        <w:rPr>
          <w:b/>
          <w:sz w:val="24"/>
          <w:szCs w:val="24"/>
        </w:rPr>
        <w:t xml:space="preserve">UKUPNO:                                                </w:t>
      </w:r>
      <w:r w:rsidR="00371379">
        <w:rPr>
          <w:b/>
          <w:sz w:val="24"/>
          <w:szCs w:val="24"/>
        </w:rPr>
        <w:t xml:space="preserve">              </w:t>
      </w:r>
      <w:r w:rsidR="00CE7D81">
        <w:rPr>
          <w:b/>
          <w:sz w:val="24"/>
          <w:szCs w:val="24"/>
        </w:rPr>
        <w:t xml:space="preserve">                              </w:t>
      </w:r>
      <w:r w:rsidR="00C45B8A">
        <w:rPr>
          <w:b/>
          <w:sz w:val="24"/>
          <w:szCs w:val="24"/>
        </w:rPr>
        <w:t>53.095.400</w:t>
      </w:r>
      <w:r w:rsidRPr="00621D74">
        <w:rPr>
          <w:b/>
          <w:sz w:val="24"/>
          <w:szCs w:val="24"/>
        </w:rPr>
        <w:t>,00</w:t>
      </w:r>
      <w:r w:rsidR="00371379">
        <w:rPr>
          <w:b/>
          <w:sz w:val="24"/>
          <w:szCs w:val="24"/>
        </w:rPr>
        <w:t xml:space="preserve"> </w:t>
      </w:r>
      <w:r w:rsidRPr="00621D74">
        <w:rPr>
          <w:b/>
          <w:sz w:val="24"/>
          <w:szCs w:val="24"/>
        </w:rPr>
        <w:t>KM</w:t>
      </w:r>
    </w:p>
    <w:p w14:paraId="732F1F6C" w14:textId="77777777" w:rsidR="00CF152E" w:rsidRPr="00621D74" w:rsidRDefault="00CF152E" w:rsidP="00CF152E">
      <w:pPr>
        <w:jc w:val="both"/>
        <w:rPr>
          <w:sz w:val="24"/>
          <w:szCs w:val="24"/>
        </w:rPr>
      </w:pPr>
    </w:p>
    <w:p w14:paraId="71D56BD7" w14:textId="77777777" w:rsidR="00CF152E" w:rsidRPr="00C6023A" w:rsidRDefault="00CF152E" w:rsidP="00CF152E">
      <w:pPr>
        <w:ind w:left="714"/>
        <w:jc w:val="both"/>
        <w:rPr>
          <w:b/>
          <w:color w:val="FF0000"/>
          <w:sz w:val="24"/>
          <w:szCs w:val="24"/>
        </w:rPr>
      </w:pPr>
    </w:p>
    <w:p w14:paraId="23970FD1" w14:textId="679E89CE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Istovremeno ukupna novčana sredstva i potraživanja za našu županiju prema završnom ob</w:t>
      </w:r>
      <w:r w:rsidR="00CE7D81" w:rsidRPr="00A315B4">
        <w:rPr>
          <w:sz w:val="24"/>
          <w:szCs w:val="24"/>
        </w:rPr>
        <w:t>računu za 202</w:t>
      </w:r>
      <w:r w:rsidR="00C45B8A">
        <w:rPr>
          <w:sz w:val="24"/>
          <w:szCs w:val="24"/>
        </w:rPr>
        <w:t>5</w:t>
      </w:r>
      <w:r w:rsidRPr="00A315B4">
        <w:rPr>
          <w:sz w:val="24"/>
          <w:szCs w:val="24"/>
        </w:rPr>
        <w:t xml:space="preserve">. godinu iznosila su </w:t>
      </w:r>
      <w:r w:rsidR="00C45B8A">
        <w:rPr>
          <w:sz w:val="24"/>
          <w:szCs w:val="24"/>
        </w:rPr>
        <w:t>53.095.400</w:t>
      </w:r>
      <w:r w:rsidRPr="00A315B4">
        <w:rPr>
          <w:sz w:val="24"/>
          <w:szCs w:val="24"/>
        </w:rPr>
        <w:t>,00 KM.</w:t>
      </w:r>
      <w:r w:rsidRPr="00A315B4">
        <w:rPr>
          <w:b/>
          <w:sz w:val="24"/>
          <w:szCs w:val="24"/>
        </w:rPr>
        <w:t xml:space="preserve"> </w:t>
      </w:r>
      <w:r w:rsidRPr="00A315B4">
        <w:rPr>
          <w:sz w:val="24"/>
          <w:szCs w:val="24"/>
        </w:rPr>
        <w:t>Dakle, ovim sredstvima mogu se podmiriti sve neizmirene obveze.</w:t>
      </w:r>
    </w:p>
    <w:p w14:paraId="75469060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2F1DAFB5" w14:textId="62F7606D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U kratkoročnim tekućim obvezama, najveća stavka su obveze prema </w:t>
      </w:r>
      <w:r w:rsidR="00B27C40">
        <w:rPr>
          <w:sz w:val="24"/>
          <w:szCs w:val="24"/>
        </w:rPr>
        <w:t>zaposlenicima</w:t>
      </w:r>
      <w:r w:rsidRPr="00A315B4">
        <w:rPr>
          <w:sz w:val="24"/>
          <w:szCs w:val="24"/>
        </w:rPr>
        <w:t xml:space="preserve"> i iznose 6</w:t>
      </w:r>
      <w:r w:rsidR="00C6023A" w:rsidRPr="00A315B4">
        <w:rPr>
          <w:sz w:val="24"/>
          <w:szCs w:val="24"/>
        </w:rPr>
        <w:t>.</w:t>
      </w:r>
      <w:r w:rsidR="00B27C40">
        <w:rPr>
          <w:sz w:val="24"/>
          <w:szCs w:val="24"/>
        </w:rPr>
        <w:t>887.836</w:t>
      </w:r>
      <w:r w:rsidRPr="00A315B4">
        <w:rPr>
          <w:sz w:val="24"/>
          <w:szCs w:val="24"/>
        </w:rPr>
        <w:t>,00 i krat</w:t>
      </w:r>
      <w:r w:rsidR="00726BD6" w:rsidRPr="00A315B4">
        <w:rPr>
          <w:sz w:val="24"/>
          <w:szCs w:val="24"/>
        </w:rPr>
        <w:t>k</w:t>
      </w:r>
      <w:r w:rsidR="00C6023A" w:rsidRPr="00A315B4">
        <w:rPr>
          <w:sz w:val="24"/>
          <w:szCs w:val="24"/>
        </w:rPr>
        <w:t>oročna razgraničenja u iznosu 1</w:t>
      </w:r>
      <w:r w:rsidR="00C45B8A">
        <w:rPr>
          <w:sz w:val="24"/>
          <w:szCs w:val="24"/>
        </w:rPr>
        <w:t>6.722.622</w:t>
      </w:r>
      <w:r w:rsidRPr="00A315B4">
        <w:rPr>
          <w:sz w:val="24"/>
          <w:szCs w:val="24"/>
        </w:rPr>
        <w:t>,00 KM.</w:t>
      </w:r>
    </w:p>
    <w:p w14:paraId="20EA7DE9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5EED0E3D" w14:textId="103284B8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U obvezama prema djelatnicima ukalkulirana je bruto plaća i naknade djelatnika HBŽ z</w:t>
      </w:r>
      <w:r w:rsidR="00C6023A" w:rsidRPr="00A315B4">
        <w:rPr>
          <w:sz w:val="24"/>
          <w:szCs w:val="24"/>
        </w:rPr>
        <w:t>a mjesec prosinac 202</w:t>
      </w:r>
      <w:r w:rsidR="00B27C40">
        <w:rPr>
          <w:sz w:val="24"/>
          <w:szCs w:val="24"/>
        </w:rPr>
        <w:t>5</w:t>
      </w:r>
      <w:r w:rsidRPr="00A315B4">
        <w:rPr>
          <w:sz w:val="24"/>
          <w:szCs w:val="24"/>
        </w:rPr>
        <w:t>. godine, a obveza j</w:t>
      </w:r>
      <w:r w:rsidR="00C6023A" w:rsidRPr="00A315B4">
        <w:rPr>
          <w:sz w:val="24"/>
          <w:szCs w:val="24"/>
        </w:rPr>
        <w:t>e izvršena tijekom siječnja 202</w:t>
      </w:r>
      <w:r w:rsidR="00B27C40">
        <w:rPr>
          <w:sz w:val="24"/>
          <w:szCs w:val="24"/>
        </w:rPr>
        <w:t>6</w:t>
      </w:r>
      <w:r w:rsidRPr="00A315B4">
        <w:rPr>
          <w:sz w:val="24"/>
          <w:szCs w:val="24"/>
        </w:rPr>
        <w:t>. godine,</w:t>
      </w:r>
      <w:r w:rsidR="00B27C40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 xml:space="preserve">što znači da je stvarna obveza manja za taj iznos. </w:t>
      </w:r>
    </w:p>
    <w:p w14:paraId="474815A6" w14:textId="77777777" w:rsidR="00CF152E" w:rsidRDefault="00CF152E" w:rsidP="00CF152E">
      <w:pPr>
        <w:ind w:firstLine="708"/>
        <w:jc w:val="both"/>
        <w:rPr>
          <w:sz w:val="24"/>
          <w:szCs w:val="24"/>
        </w:rPr>
      </w:pPr>
    </w:p>
    <w:p w14:paraId="337352D4" w14:textId="77777777" w:rsidR="00CF152E" w:rsidRDefault="00CF152E" w:rsidP="00CF152E">
      <w:pPr>
        <w:ind w:firstLine="708"/>
        <w:jc w:val="both"/>
        <w:rPr>
          <w:sz w:val="24"/>
          <w:szCs w:val="24"/>
        </w:rPr>
      </w:pPr>
    </w:p>
    <w:p w14:paraId="6A3D5A77" w14:textId="77777777" w:rsidR="00CF152E" w:rsidRPr="005F4C96" w:rsidRDefault="00CF152E" w:rsidP="00CF152E">
      <w:pPr>
        <w:ind w:firstLine="708"/>
        <w:jc w:val="both"/>
        <w:rPr>
          <w:sz w:val="24"/>
          <w:szCs w:val="24"/>
        </w:rPr>
      </w:pPr>
    </w:p>
    <w:p w14:paraId="4EC4840F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40B24D0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1A9038F3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29E57FA5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645EADB6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1F3B17FB" w14:textId="77777777" w:rsidR="00726BD6" w:rsidRDefault="00726BD6" w:rsidP="00CF152E">
      <w:pPr>
        <w:jc w:val="both"/>
        <w:rPr>
          <w:rFonts w:ascii="Arial" w:hAnsi="Arial" w:cs="Arial"/>
          <w:szCs w:val="22"/>
        </w:rPr>
      </w:pPr>
    </w:p>
    <w:p w14:paraId="3913AB23" w14:textId="77777777" w:rsidR="00CF152E" w:rsidRDefault="00CF152E" w:rsidP="00CF152E">
      <w:pPr>
        <w:pStyle w:val="Naslov2"/>
      </w:pPr>
      <w:bookmarkStart w:id="136" w:name="_Toc106015352"/>
      <w:bookmarkStart w:id="137" w:name="_Toc232407844"/>
      <w:r>
        <w:lastRenderedPageBreak/>
        <w:t>5.2. Razina vanjskog duga</w:t>
      </w:r>
      <w:bookmarkEnd w:id="136"/>
      <w:bookmarkEnd w:id="137"/>
      <w:r w:rsidR="000C1040">
        <w:t xml:space="preserve"> </w:t>
      </w:r>
    </w:p>
    <w:p w14:paraId="429924F9" w14:textId="77777777" w:rsidR="007E3D91" w:rsidRDefault="007E3D91" w:rsidP="007E3D91"/>
    <w:p w14:paraId="082C3456" w14:textId="77777777" w:rsidR="007E3D91" w:rsidRDefault="007E3D91" w:rsidP="007E3D91"/>
    <w:p w14:paraId="3020CEC6" w14:textId="77777777" w:rsidR="00A556DF" w:rsidRDefault="007E3D91" w:rsidP="007E3D91">
      <w:pPr>
        <w:ind w:firstLine="708"/>
        <w:jc w:val="both"/>
        <w:rPr>
          <w:szCs w:val="24"/>
        </w:rPr>
      </w:pPr>
      <w:r w:rsidRPr="00A315B4">
        <w:rPr>
          <w:szCs w:val="24"/>
        </w:rPr>
        <w:t>Razina otplate vanjskog duga Hercegbosanske županije u razdoblju 202</w:t>
      </w:r>
      <w:r w:rsidR="00471333">
        <w:rPr>
          <w:szCs w:val="24"/>
        </w:rPr>
        <w:t>6</w:t>
      </w:r>
      <w:r w:rsidRPr="00A315B4">
        <w:rPr>
          <w:szCs w:val="24"/>
        </w:rPr>
        <w:t>.-202</w:t>
      </w:r>
      <w:r w:rsidR="00471333">
        <w:rPr>
          <w:szCs w:val="24"/>
        </w:rPr>
        <w:t>9</w:t>
      </w:r>
      <w:r w:rsidRPr="00A315B4">
        <w:rPr>
          <w:szCs w:val="24"/>
        </w:rPr>
        <w:t xml:space="preserve">. godina prikazana je u </w:t>
      </w:r>
      <w:r w:rsidR="003301FF">
        <w:rPr>
          <w:szCs w:val="24"/>
        </w:rPr>
        <w:t>narednoj</w:t>
      </w:r>
    </w:p>
    <w:p w14:paraId="4C887339" w14:textId="77777777" w:rsidR="002107EB" w:rsidRDefault="002107EB" w:rsidP="007E3D91">
      <w:pPr>
        <w:ind w:firstLine="708"/>
        <w:jc w:val="both"/>
        <w:rPr>
          <w:szCs w:val="24"/>
        </w:rPr>
      </w:pPr>
    </w:p>
    <w:p w14:paraId="22E06C7C" w14:textId="799E64A8" w:rsidR="007E3D91" w:rsidRPr="00A315B4" w:rsidRDefault="007E3D91" w:rsidP="007E3D91">
      <w:pPr>
        <w:ind w:firstLine="708"/>
        <w:jc w:val="both"/>
        <w:rPr>
          <w:szCs w:val="24"/>
        </w:rPr>
      </w:pPr>
      <w:r w:rsidRPr="00A315B4">
        <w:rPr>
          <w:szCs w:val="24"/>
        </w:rPr>
        <w:t xml:space="preserve"> tablici.</w:t>
      </w:r>
    </w:p>
    <w:p w14:paraId="16AE8F17" w14:textId="77777777" w:rsidR="007E3D91" w:rsidRPr="007E3D91" w:rsidRDefault="007E3D91" w:rsidP="007E3D91"/>
    <w:p w14:paraId="41B4281E" w14:textId="77777777" w:rsidR="00CF152E" w:rsidRPr="00E63209" w:rsidRDefault="00CF152E" w:rsidP="00CF152E">
      <w:pPr>
        <w:jc w:val="both"/>
        <w:rPr>
          <w:rFonts w:ascii="Arial" w:hAnsi="Arial" w:cs="Arial"/>
          <w:b/>
          <w:sz w:val="24"/>
          <w:szCs w:val="24"/>
        </w:rPr>
      </w:pPr>
    </w:p>
    <w:p w14:paraId="3773DAAB" w14:textId="6972BFD3" w:rsidR="007E3D91" w:rsidRPr="007E3D91" w:rsidRDefault="00877702" w:rsidP="007E3D91">
      <w:pPr>
        <w:pStyle w:val="Opisslike"/>
      </w:pPr>
      <w:bookmarkStart w:id="138" w:name="_Toc106179194"/>
      <w:bookmarkStart w:id="139" w:name="_Toc232407860"/>
      <w:bookmarkEnd w:id="135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12</w:t>
      </w:r>
      <w:r w:rsidR="00D82381">
        <w:fldChar w:fldCharType="end"/>
      </w:r>
      <w:r>
        <w:t xml:space="preserve">. </w:t>
      </w:r>
      <w:r w:rsidR="00CF152E" w:rsidRPr="00877702">
        <w:t>Dug Hercegbosanske županije po ino-kreditima</w:t>
      </w:r>
      <w:bookmarkEnd w:id="138"/>
      <w:bookmarkEnd w:id="139"/>
      <w:r w:rsidR="000C1040" w:rsidRPr="00877702">
        <w:t xml:space="preserve"> </w:t>
      </w:r>
    </w:p>
    <w:p w14:paraId="7298AECE" w14:textId="77777777" w:rsidR="00CF152E" w:rsidRPr="00915199" w:rsidRDefault="00915199" w:rsidP="00915199">
      <w:pPr>
        <w:jc w:val="right"/>
        <w:rPr>
          <w:rFonts w:ascii="Arial" w:hAnsi="Arial" w:cs="Arial"/>
          <w:b/>
          <w:color w:val="000000" w:themeColor="text1"/>
          <w:sz w:val="20"/>
        </w:rPr>
      </w:pPr>
      <w:r w:rsidRPr="00915199">
        <w:rPr>
          <w:rFonts w:ascii="Arial" w:hAnsi="Arial" w:cs="Arial"/>
          <w:b/>
          <w:color w:val="000000" w:themeColor="text1"/>
          <w:sz w:val="20"/>
        </w:rPr>
        <w:t>U KM</w:t>
      </w:r>
    </w:p>
    <w:tbl>
      <w:tblPr>
        <w:tblStyle w:val="Svijetlipopis-Isticanje11"/>
        <w:tblW w:w="8896" w:type="dxa"/>
        <w:tblInd w:w="-10" w:type="dxa"/>
        <w:tblLook w:val="04A0" w:firstRow="1" w:lastRow="0" w:firstColumn="1" w:lastColumn="0" w:noHBand="0" w:noVBand="1"/>
      </w:tblPr>
      <w:tblGrid>
        <w:gridCol w:w="2008"/>
        <w:gridCol w:w="1722"/>
        <w:gridCol w:w="1722"/>
        <w:gridCol w:w="1722"/>
        <w:gridCol w:w="1722"/>
      </w:tblGrid>
      <w:tr w:rsidR="00806C92" w:rsidRPr="00FE16ED" w14:paraId="29637DEF" w14:textId="4AE5A688" w:rsidTr="00806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  <w:vAlign w:val="center"/>
            <w:hideMark/>
          </w:tcPr>
          <w:p w14:paraId="6677091F" w14:textId="77777777" w:rsidR="00806C92" w:rsidRPr="00FE16ED" w:rsidRDefault="00806C92" w:rsidP="00097443">
            <w:pPr>
              <w:jc w:val="center"/>
              <w:rPr>
                <w:color w:val="000000"/>
              </w:rPr>
            </w:pPr>
            <w:r w:rsidRPr="00FE16ED">
              <w:rPr>
                <w:color w:val="000000"/>
              </w:rPr>
              <w:t>KREDITORI</w:t>
            </w:r>
          </w:p>
        </w:tc>
        <w:tc>
          <w:tcPr>
            <w:tcW w:w="1722" w:type="dxa"/>
            <w:vAlign w:val="center"/>
            <w:hideMark/>
          </w:tcPr>
          <w:p w14:paraId="7FA5E6DD" w14:textId="1625F9CB" w:rsidR="00806C92" w:rsidRPr="00FE16ED" w:rsidRDefault="00806C92" w:rsidP="00097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22" w:type="dxa"/>
            <w:vAlign w:val="center"/>
            <w:hideMark/>
          </w:tcPr>
          <w:p w14:paraId="1A96AF1D" w14:textId="12B1AF62" w:rsidR="00806C92" w:rsidRPr="00FE16ED" w:rsidRDefault="00806C92" w:rsidP="00097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22" w:type="dxa"/>
            <w:vAlign w:val="center"/>
            <w:hideMark/>
          </w:tcPr>
          <w:p w14:paraId="21C8A4B5" w14:textId="73FF5131" w:rsidR="00806C92" w:rsidRPr="00FE16ED" w:rsidRDefault="00806C92" w:rsidP="00097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22" w:type="dxa"/>
          </w:tcPr>
          <w:p w14:paraId="67329070" w14:textId="73A2B8B3" w:rsidR="00806C92" w:rsidRDefault="00806C92" w:rsidP="00097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06C92" w:rsidRPr="00FE16ED" w14:paraId="04550B48" w14:textId="19DBFB25" w:rsidTr="00806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  <w:vAlign w:val="center"/>
            <w:hideMark/>
          </w:tcPr>
          <w:p w14:paraId="68E30CEB" w14:textId="77777777" w:rsidR="00806C92" w:rsidRPr="00FE16ED" w:rsidRDefault="00806C92" w:rsidP="00097443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vAlign w:val="center"/>
            <w:hideMark/>
          </w:tcPr>
          <w:p w14:paraId="69737E11" w14:textId="77777777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1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Glavnica + Kamata</w:t>
            </w:r>
          </w:p>
        </w:tc>
        <w:tc>
          <w:tcPr>
            <w:tcW w:w="1722" w:type="dxa"/>
            <w:vAlign w:val="center"/>
            <w:hideMark/>
          </w:tcPr>
          <w:p w14:paraId="0EB84532" w14:textId="77777777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1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Glavnica + Kamata</w:t>
            </w:r>
          </w:p>
        </w:tc>
        <w:tc>
          <w:tcPr>
            <w:tcW w:w="1722" w:type="dxa"/>
            <w:vAlign w:val="center"/>
            <w:hideMark/>
          </w:tcPr>
          <w:p w14:paraId="4E433BAC" w14:textId="77777777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1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Glavnica + Kamata</w:t>
            </w:r>
          </w:p>
        </w:tc>
        <w:tc>
          <w:tcPr>
            <w:tcW w:w="1722" w:type="dxa"/>
          </w:tcPr>
          <w:p w14:paraId="66753BB4" w14:textId="77777777" w:rsidR="00806C92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Glavnica +</w:t>
            </w:r>
          </w:p>
          <w:p w14:paraId="273E87D8" w14:textId="1E798773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Kamata</w:t>
            </w:r>
          </w:p>
        </w:tc>
      </w:tr>
      <w:tr w:rsidR="00806C92" w:rsidRPr="00FE16ED" w14:paraId="0F33FBE6" w14:textId="24EE354C" w:rsidTr="00806C92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  <w:hideMark/>
          </w:tcPr>
          <w:p w14:paraId="4D9E7BCF" w14:textId="77777777" w:rsidR="00806C92" w:rsidRPr="00FE16ED" w:rsidRDefault="00806C92" w:rsidP="000974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 xml:space="preserve">KOREJA-projekt </w:t>
            </w:r>
            <w:proofErr w:type="spellStart"/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>mod.bolnica</w:t>
            </w:r>
            <w:proofErr w:type="spellEnd"/>
          </w:p>
        </w:tc>
        <w:tc>
          <w:tcPr>
            <w:tcW w:w="1722" w:type="dxa"/>
            <w:vAlign w:val="center"/>
            <w:hideMark/>
          </w:tcPr>
          <w:p w14:paraId="540085F2" w14:textId="38C57098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54.771,17</w:t>
            </w:r>
          </w:p>
        </w:tc>
        <w:tc>
          <w:tcPr>
            <w:tcW w:w="1722" w:type="dxa"/>
            <w:vAlign w:val="center"/>
            <w:hideMark/>
          </w:tcPr>
          <w:p w14:paraId="331F7546" w14:textId="05F1F561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52.619,06</w:t>
            </w:r>
          </w:p>
        </w:tc>
        <w:tc>
          <w:tcPr>
            <w:tcW w:w="1722" w:type="dxa"/>
            <w:vAlign w:val="center"/>
            <w:hideMark/>
          </w:tcPr>
          <w:p w14:paraId="58E2C888" w14:textId="20014754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50.487,58</w:t>
            </w:r>
          </w:p>
        </w:tc>
        <w:tc>
          <w:tcPr>
            <w:tcW w:w="1722" w:type="dxa"/>
          </w:tcPr>
          <w:p w14:paraId="7C361CD3" w14:textId="77777777" w:rsidR="00806C92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7F778E" w14:textId="023672A1" w:rsidR="00806C92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48.314,84</w:t>
            </w:r>
          </w:p>
        </w:tc>
      </w:tr>
      <w:tr w:rsidR="00806C92" w:rsidRPr="00FE16ED" w14:paraId="0A85968D" w14:textId="721A5F58" w:rsidTr="00806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  <w:hideMark/>
          </w:tcPr>
          <w:p w14:paraId="58536F02" w14:textId="77777777" w:rsidR="00806C92" w:rsidRPr="00FE16ED" w:rsidRDefault="00806C92" w:rsidP="000974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16ED">
              <w:rPr>
                <w:rFonts w:ascii="Arial" w:hAnsi="Arial" w:cs="Arial"/>
                <w:color w:val="000000"/>
                <w:sz w:val="18"/>
                <w:szCs w:val="18"/>
              </w:rPr>
              <w:t>IDA-energetska učinkovitost</w:t>
            </w:r>
          </w:p>
        </w:tc>
        <w:tc>
          <w:tcPr>
            <w:tcW w:w="1722" w:type="dxa"/>
            <w:vAlign w:val="center"/>
            <w:hideMark/>
          </w:tcPr>
          <w:p w14:paraId="13D6925F" w14:textId="7496EFE1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0.935,40</w:t>
            </w:r>
          </w:p>
        </w:tc>
        <w:tc>
          <w:tcPr>
            <w:tcW w:w="1722" w:type="dxa"/>
            <w:vAlign w:val="center"/>
            <w:hideMark/>
          </w:tcPr>
          <w:p w14:paraId="29B9F68B" w14:textId="07E150CC" w:rsidR="00806C92" w:rsidRPr="00FE16ED" w:rsidRDefault="00471333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89.227,71</w:t>
            </w:r>
          </w:p>
        </w:tc>
        <w:tc>
          <w:tcPr>
            <w:tcW w:w="1722" w:type="dxa"/>
            <w:vAlign w:val="center"/>
            <w:hideMark/>
          </w:tcPr>
          <w:p w14:paraId="5E33F688" w14:textId="493A0B91" w:rsidR="00806C92" w:rsidRPr="00FE16ED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471333">
              <w:rPr>
                <w:rFonts w:ascii="Arial" w:hAnsi="Arial" w:cs="Arial"/>
                <w:color w:val="000000"/>
                <w:sz w:val="18"/>
                <w:szCs w:val="18"/>
              </w:rPr>
              <w:t>7.520,01</w:t>
            </w:r>
          </w:p>
        </w:tc>
        <w:tc>
          <w:tcPr>
            <w:tcW w:w="1722" w:type="dxa"/>
          </w:tcPr>
          <w:p w14:paraId="79074DD2" w14:textId="77777777" w:rsidR="00806C92" w:rsidRDefault="00806C92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C8AE39" w14:textId="784B6D4E" w:rsidR="00806C92" w:rsidRDefault="00471333" w:rsidP="00097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43.119,52</w:t>
            </w:r>
          </w:p>
        </w:tc>
      </w:tr>
      <w:tr w:rsidR="00806C92" w:rsidRPr="00FE16ED" w14:paraId="3105AFB3" w14:textId="45D0B944" w:rsidTr="00806C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Align w:val="center"/>
            <w:hideMark/>
          </w:tcPr>
          <w:p w14:paraId="41ED5C37" w14:textId="77777777" w:rsidR="00806C92" w:rsidRPr="00FE16ED" w:rsidRDefault="00806C92" w:rsidP="0009744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E16ED">
              <w:rPr>
                <w:rFonts w:ascii="Arial" w:hAnsi="Arial" w:cs="Arial"/>
                <w:color w:val="000000"/>
                <w:sz w:val="20"/>
              </w:rPr>
              <w:t>UKUPNO</w:t>
            </w:r>
          </w:p>
        </w:tc>
        <w:tc>
          <w:tcPr>
            <w:tcW w:w="1722" w:type="dxa"/>
            <w:vAlign w:val="center"/>
            <w:hideMark/>
          </w:tcPr>
          <w:p w14:paraId="49F77E46" w14:textId="3F1BBABA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471333">
              <w:rPr>
                <w:rFonts w:ascii="Arial" w:hAnsi="Arial" w:cs="Arial"/>
                <w:b/>
                <w:bCs/>
                <w:color w:val="000000"/>
                <w:sz w:val="20"/>
              </w:rPr>
              <w:t>54.706,57</w:t>
            </w:r>
          </w:p>
        </w:tc>
        <w:tc>
          <w:tcPr>
            <w:tcW w:w="1722" w:type="dxa"/>
            <w:vAlign w:val="center"/>
            <w:hideMark/>
          </w:tcPr>
          <w:p w14:paraId="36B42A88" w14:textId="6BAF7317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471333">
              <w:rPr>
                <w:rFonts w:ascii="Arial" w:hAnsi="Arial" w:cs="Arial"/>
                <w:b/>
                <w:bCs/>
                <w:color w:val="000000"/>
                <w:sz w:val="20"/>
              </w:rPr>
              <w:t>41.846,77</w:t>
            </w:r>
          </w:p>
        </w:tc>
        <w:tc>
          <w:tcPr>
            <w:tcW w:w="1722" w:type="dxa"/>
            <w:vAlign w:val="center"/>
            <w:hideMark/>
          </w:tcPr>
          <w:p w14:paraId="38D07AD9" w14:textId="3847AE6B" w:rsidR="00806C92" w:rsidRPr="00FE16ED" w:rsidRDefault="00806C92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471333">
              <w:rPr>
                <w:rFonts w:ascii="Arial" w:hAnsi="Arial" w:cs="Arial"/>
                <w:b/>
                <w:bCs/>
                <w:color w:val="000000"/>
                <w:sz w:val="20"/>
              </w:rPr>
              <w:t>38.007,52</w:t>
            </w:r>
          </w:p>
        </w:tc>
        <w:tc>
          <w:tcPr>
            <w:tcW w:w="1722" w:type="dxa"/>
          </w:tcPr>
          <w:p w14:paraId="73604994" w14:textId="2BCBABDD" w:rsidR="00806C92" w:rsidRDefault="00471333" w:rsidP="000974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191.434,46</w:t>
            </w:r>
          </w:p>
        </w:tc>
      </w:tr>
    </w:tbl>
    <w:p w14:paraId="423229D6" w14:textId="77777777" w:rsidR="00CF152E" w:rsidRPr="00CE7213" w:rsidRDefault="00CF152E" w:rsidP="00CF152E">
      <w:pPr>
        <w:rPr>
          <w:rFonts w:ascii="Arial" w:hAnsi="Arial" w:cs="Arial"/>
          <w:color w:val="FF0000"/>
          <w:sz w:val="20"/>
        </w:rPr>
      </w:pPr>
    </w:p>
    <w:p w14:paraId="197BDF58" w14:textId="77777777" w:rsidR="00CF152E" w:rsidRPr="00CE7213" w:rsidRDefault="00CF152E" w:rsidP="00CF152E">
      <w:pPr>
        <w:jc w:val="center"/>
        <w:rPr>
          <w:rFonts w:ascii="Arial" w:hAnsi="Arial" w:cs="Arial"/>
          <w:b/>
          <w:color w:val="FF0000"/>
          <w:sz w:val="20"/>
        </w:rPr>
      </w:pPr>
    </w:p>
    <w:p w14:paraId="4033FC53" w14:textId="77777777" w:rsidR="00CF152E" w:rsidRPr="00CE7213" w:rsidRDefault="00CF152E" w:rsidP="00CF152E">
      <w:pPr>
        <w:rPr>
          <w:rFonts w:ascii="Arial" w:hAnsi="Arial" w:cs="Arial"/>
          <w:b/>
          <w:color w:val="FF0000"/>
          <w:sz w:val="20"/>
        </w:rPr>
      </w:pPr>
    </w:p>
    <w:p w14:paraId="2563CF53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Stanje i projekcije javnog duga su od izuzetne važnosti za kreiranje fiskalnih i razvojnih politika. Zaduživanje treba biti na realnim i održivim osnovama da bi se održala stabilnost fiskalnog sustava i osigurao temelj  za razvojne inicijative. Pregled stanja i projekcija javnog duga u ovom dokumentu se temelji na podacima kojima raspolaže Ministarstvo financija.</w:t>
      </w:r>
    </w:p>
    <w:p w14:paraId="01156E76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2E3B4709" w14:textId="445874AC" w:rsidR="00CF152E" w:rsidRPr="00A315B4" w:rsidRDefault="00CF152E" w:rsidP="004F0323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Cijena zaduživanja u BiH je izrazito visoka, a glavni razlog visokih kamatnih stopa je visoki kreditni rizik i veoma nizak kreditni rejting Bosne i Hercegovine. Sukladno Zakonu o dugu, zaduživanju i jamstvima u Federaciji BiH („Službene novine FBiH“, </w:t>
      </w:r>
      <w:proofErr w:type="spellStart"/>
      <w:r w:rsidRPr="00A315B4">
        <w:rPr>
          <w:sz w:val="24"/>
          <w:szCs w:val="24"/>
        </w:rPr>
        <w:t>br</w:t>
      </w:r>
      <w:proofErr w:type="spellEnd"/>
      <w:r w:rsidRPr="00A315B4">
        <w:rPr>
          <w:sz w:val="24"/>
          <w:szCs w:val="24"/>
        </w:rPr>
        <w:t xml:space="preserve">: </w:t>
      </w:r>
      <w:r w:rsidR="002107EB">
        <w:rPr>
          <w:sz w:val="24"/>
          <w:szCs w:val="24"/>
        </w:rPr>
        <w:t>45/25</w:t>
      </w:r>
      <w:r w:rsidRPr="00A315B4">
        <w:rPr>
          <w:sz w:val="24"/>
          <w:szCs w:val="24"/>
        </w:rPr>
        <w:t>) županije se mogu dugoročno zadužiti ukoliko u vrijeme dugoročnoga zaduženja iznos servisiranja duga za ukupan unutarnji i vanjski dug i jamstva koji dospijeva u svakoj narednoj godini ne prelazi 10% prihoda ostvarenih u prethodnoj fiskalnoj godini.</w:t>
      </w:r>
    </w:p>
    <w:p w14:paraId="3320F784" w14:textId="77777777" w:rsidR="00CF152E" w:rsidRPr="00A315B4" w:rsidRDefault="00CF152E" w:rsidP="00CF152E">
      <w:pPr>
        <w:rPr>
          <w:sz w:val="24"/>
          <w:szCs w:val="24"/>
        </w:rPr>
      </w:pPr>
    </w:p>
    <w:p w14:paraId="12C460BB" w14:textId="652AF0F4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 xml:space="preserve">Podatci u prethodnoj tablici-vanjski dug, za devizna sredstva, izračunata su po srednjem tečaju Centralne Banke Bosne </w:t>
      </w:r>
      <w:r w:rsidR="001C13E2" w:rsidRPr="00A315B4">
        <w:rPr>
          <w:sz w:val="24"/>
          <w:szCs w:val="24"/>
        </w:rPr>
        <w:t xml:space="preserve">i Hercegovine na dan </w:t>
      </w:r>
      <w:r w:rsidR="002107EB">
        <w:rPr>
          <w:sz w:val="24"/>
          <w:szCs w:val="24"/>
        </w:rPr>
        <w:t>0</w:t>
      </w:r>
      <w:r w:rsidR="001C13E2" w:rsidRPr="00A315B4">
        <w:rPr>
          <w:sz w:val="24"/>
          <w:szCs w:val="24"/>
        </w:rPr>
        <w:t>1</w:t>
      </w:r>
      <w:r w:rsidR="002107EB">
        <w:rPr>
          <w:sz w:val="24"/>
          <w:szCs w:val="24"/>
        </w:rPr>
        <w:t>.05</w:t>
      </w:r>
      <w:r w:rsidRPr="00A315B4">
        <w:rPr>
          <w:sz w:val="24"/>
          <w:szCs w:val="24"/>
        </w:rPr>
        <w:t>.</w:t>
      </w:r>
      <w:r w:rsidR="002107EB">
        <w:rPr>
          <w:sz w:val="24"/>
          <w:szCs w:val="24"/>
        </w:rPr>
        <w:t>2026.</w:t>
      </w:r>
      <w:r w:rsidRPr="00A315B4">
        <w:rPr>
          <w:sz w:val="24"/>
          <w:szCs w:val="24"/>
        </w:rPr>
        <w:t xml:space="preserve"> godine.  Ovi podatci odnose se samo na glavnicu po ino-kreditima, naime, najveći dio kamate utvrđuje se temeljem LIBOR stope na dan dospijeća.</w:t>
      </w:r>
    </w:p>
    <w:p w14:paraId="12BF92A2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5A68FE85" w14:textId="3FBA776E" w:rsidR="00CF152E" w:rsidRPr="00A315B4" w:rsidRDefault="00BF6375" w:rsidP="00CF15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tablici 12</w:t>
      </w:r>
      <w:r w:rsidR="00CF152E" w:rsidRPr="00A315B4">
        <w:rPr>
          <w:sz w:val="24"/>
          <w:szCs w:val="24"/>
        </w:rPr>
        <w:t>. prikazane su kreditne obveze Hercegbos</w:t>
      </w:r>
      <w:r w:rsidR="007E3D91" w:rsidRPr="00A315B4">
        <w:rPr>
          <w:sz w:val="24"/>
          <w:szCs w:val="24"/>
        </w:rPr>
        <w:t>anske županije za razdoblje 202</w:t>
      </w:r>
      <w:r w:rsidR="00471333">
        <w:rPr>
          <w:sz w:val="24"/>
          <w:szCs w:val="24"/>
        </w:rPr>
        <w:t>6</w:t>
      </w:r>
      <w:r w:rsidR="007E3D91" w:rsidRPr="00A315B4">
        <w:rPr>
          <w:sz w:val="24"/>
          <w:szCs w:val="24"/>
        </w:rPr>
        <w:t>.-202</w:t>
      </w:r>
      <w:r w:rsidR="00471333">
        <w:rPr>
          <w:sz w:val="24"/>
          <w:szCs w:val="24"/>
        </w:rPr>
        <w:t>9</w:t>
      </w:r>
      <w:r w:rsidR="00CF152E" w:rsidRPr="00A315B4">
        <w:rPr>
          <w:sz w:val="24"/>
          <w:szCs w:val="24"/>
        </w:rPr>
        <w:t>. godine, za kredite koji su do danas korišteni i stavljeni u otplatu. Ukoliko se proračunski prihodi ne budu o</w:t>
      </w:r>
      <w:r w:rsidR="001C13E2" w:rsidRPr="00A315B4">
        <w:rPr>
          <w:sz w:val="24"/>
          <w:szCs w:val="24"/>
        </w:rPr>
        <w:t>stvarivali željenom dinamikom,</w:t>
      </w:r>
      <w:r w:rsidR="00CF152E" w:rsidRPr="00A315B4">
        <w:rPr>
          <w:sz w:val="24"/>
          <w:szCs w:val="24"/>
        </w:rPr>
        <w:t xml:space="preserve"> u budućem razdoblju biti će potrebno tražiti kreditna sredstva od komercijalnih banaka, u cilju održavanja tekuće likvidnosti Proračuna. </w:t>
      </w:r>
    </w:p>
    <w:p w14:paraId="08F91637" w14:textId="77777777" w:rsidR="00CF152E" w:rsidRDefault="00CF152E" w:rsidP="00CF152E"/>
    <w:p w14:paraId="56D5E856" w14:textId="77777777" w:rsidR="00CF152E" w:rsidRPr="00CF152E" w:rsidRDefault="00CF152E" w:rsidP="00CF152E"/>
    <w:p w14:paraId="673F1976" w14:textId="77777777" w:rsidR="00CF152E" w:rsidRPr="00CF152E" w:rsidRDefault="00CF152E" w:rsidP="00CF152E"/>
    <w:p w14:paraId="7AC0A51F" w14:textId="77777777" w:rsidR="00CF152E" w:rsidRPr="00CF152E" w:rsidRDefault="00CF152E" w:rsidP="00CF152E"/>
    <w:p w14:paraId="4B8B8D9F" w14:textId="77777777" w:rsidR="00CF152E" w:rsidRPr="00CF152E" w:rsidRDefault="00CF152E" w:rsidP="00CF152E"/>
    <w:p w14:paraId="43C4F43D" w14:textId="77777777" w:rsidR="00CF152E" w:rsidRPr="00CF152E" w:rsidRDefault="00CF152E" w:rsidP="00CF152E"/>
    <w:p w14:paraId="75DA9C14" w14:textId="77777777" w:rsidR="00CF152E" w:rsidRPr="00CF152E" w:rsidRDefault="00CF152E" w:rsidP="00CF152E"/>
    <w:p w14:paraId="5EA295E3" w14:textId="77777777" w:rsidR="00CF152E" w:rsidRPr="00CF152E" w:rsidRDefault="00CF152E" w:rsidP="00CF152E"/>
    <w:p w14:paraId="1E5D1197" w14:textId="3B6AAFFC" w:rsidR="00CF152E" w:rsidRPr="00803075" w:rsidRDefault="00CF152E" w:rsidP="00803075">
      <w:pPr>
        <w:spacing w:after="200" w:line="276" w:lineRule="auto"/>
      </w:pPr>
    </w:p>
    <w:p w14:paraId="73788573" w14:textId="75F6FD2A" w:rsidR="00CF152E" w:rsidRDefault="00CF152E" w:rsidP="00CF152E">
      <w:pPr>
        <w:pStyle w:val="Naslov1"/>
      </w:pPr>
      <w:bookmarkStart w:id="140" w:name="_Toc190228475"/>
      <w:bookmarkStart w:id="141" w:name="_Toc191049004"/>
      <w:bookmarkStart w:id="142" w:name="_Toc197340793"/>
      <w:bookmarkStart w:id="143" w:name="_Toc106015353"/>
      <w:bookmarkStart w:id="144" w:name="_Toc232407845"/>
      <w:r w:rsidRPr="009C5507">
        <w:t>Poglavlje 6:</w:t>
      </w:r>
      <w:bookmarkEnd w:id="140"/>
      <w:bookmarkEnd w:id="141"/>
      <w:bookmarkEnd w:id="142"/>
      <w:r w:rsidRPr="009C5507">
        <w:t xml:space="preserve"> Projekcija prihoda i rashoda proračuna općina i </w:t>
      </w:r>
      <w:r w:rsidR="001D2B50">
        <w:t>Zavoda HBŽ-e za razdoblje 202</w:t>
      </w:r>
      <w:r w:rsidR="00022811">
        <w:t>7</w:t>
      </w:r>
      <w:r w:rsidRPr="009C5507">
        <w:t>.-</w:t>
      </w:r>
      <w:r w:rsidR="001D2B50">
        <w:t>202</w:t>
      </w:r>
      <w:r w:rsidR="00022811">
        <w:t>9</w:t>
      </w:r>
      <w:r w:rsidRPr="009C5507">
        <w:t>.</w:t>
      </w:r>
      <w:bookmarkEnd w:id="143"/>
      <w:r w:rsidR="00DD14BB">
        <w:t xml:space="preserve"> godine</w:t>
      </w:r>
      <w:bookmarkEnd w:id="144"/>
    </w:p>
    <w:p w14:paraId="71A4846F" w14:textId="77777777" w:rsidR="00CF152E" w:rsidRDefault="00CF152E" w:rsidP="00CF152E">
      <w:pPr>
        <w:pStyle w:val="Naslov2"/>
      </w:pPr>
    </w:p>
    <w:p w14:paraId="4F7999AC" w14:textId="77777777" w:rsidR="000B0BCC" w:rsidRPr="000B0BCC" w:rsidRDefault="000B0BCC" w:rsidP="000B0BCC">
      <w:pPr>
        <w:pStyle w:val="Naslov2"/>
      </w:pPr>
      <w:bookmarkStart w:id="145" w:name="_Toc232407846"/>
      <w:r>
        <w:t>6.1. Uvod</w:t>
      </w:r>
      <w:bookmarkEnd w:id="145"/>
    </w:p>
    <w:p w14:paraId="0709455D" w14:textId="77777777" w:rsidR="00CF152E" w:rsidRPr="001D2B50" w:rsidRDefault="00CF152E" w:rsidP="00CF152E">
      <w:pPr>
        <w:jc w:val="both"/>
        <w:rPr>
          <w:rFonts w:ascii="Arial" w:hAnsi="Arial" w:cs="Arial"/>
          <w:color w:val="FF0000"/>
          <w:sz w:val="20"/>
        </w:rPr>
      </w:pPr>
    </w:p>
    <w:p w14:paraId="09B6A727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Proračun je glavni instrument za provođenje politika vlade. On je sredstvo putem kojeg se strateški ciljevi prevode u usluge, programe i aktivnosti koje ispunjavaju socijalne i ekonomske potrebe građana. Sve vlade se suočavaju sa problemom zahtjeva za sredstvima koji nadmašuju razinu raspoloživih sredstava i Bosna i Hercegovina nije izuzetak u tom smislu. Suočena sa zahtjevima proračunskih korisnika i prioritetima koji nadilaze raspoloživa sredstva, Vlada Hercegbosanske županije mora donijeti odluke o prioritetima unutar politika. Gdje je moguće, prioriteti bi trebali biti usklađeni sa srednjoročnim i dugoročnim društvenim i ekonomskim ciljevima razvojnih politika.</w:t>
      </w:r>
    </w:p>
    <w:p w14:paraId="3F3736A5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4438299D" w14:textId="4B470774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Ova analiza uzima u obzir sve informacije proračunskih korisnika po pitanju prioritetnih politika indikativnih procjena potrošnje. Obzirom da se radi o preporukama zasnovanim na analizi raspoloživih podataka, donošenje konačnih odluka (gornjih granica rashoda) je odgovornost Vlade Hercegbosanske županije. Ove preporuke o proračunskim ograničenjima uglavnom su zasnovane na proji</w:t>
      </w:r>
      <w:r w:rsidR="001D2B50" w:rsidRPr="00A315B4">
        <w:rPr>
          <w:sz w:val="24"/>
          <w:szCs w:val="24"/>
        </w:rPr>
        <w:t>ciranim ukupnim prihodima u 202</w:t>
      </w:r>
      <w:r w:rsidR="00022811">
        <w:rPr>
          <w:sz w:val="24"/>
          <w:szCs w:val="24"/>
        </w:rPr>
        <w:t>7</w:t>
      </w:r>
      <w:r w:rsidRPr="00A315B4">
        <w:rPr>
          <w:sz w:val="24"/>
          <w:szCs w:val="24"/>
        </w:rPr>
        <w:t>., te ograničenom rastu u naredne dvije godine, koji je prilagođen trenutnoj ekonomskoj situaciji. Ova proračunska ograničenja za 202</w:t>
      </w:r>
      <w:r w:rsidR="00022811">
        <w:rPr>
          <w:sz w:val="24"/>
          <w:szCs w:val="24"/>
        </w:rPr>
        <w:t>7</w:t>
      </w:r>
      <w:r w:rsidRPr="00A315B4">
        <w:rPr>
          <w:sz w:val="24"/>
          <w:szCs w:val="24"/>
        </w:rPr>
        <w:t>. godinu služe kao početni okvir unutar kojeg resorna ministarstva i ostali proračunski korisnici mogu razviti</w:t>
      </w:r>
      <w:r w:rsidR="001D2B50" w:rsidRPr="00A315B4">
        <w:rPr>
          <w:sz w:val="24"/>
          <w:szCs w:val="24"/>
        </w:rPr>
        <w:t xml:space="preserve"> svoje detaljne zahtjeve za</w:t>
      </w:r>
      <w:r w:rsidR="00022811">
        <w:rPr>
          <w:sz w:val="24"/>
          <w:szCs w:val="24"/>
        </w:rPr>
        <w:t xml:space="preserve"> </w:t>
      </w:r>
      <w:r w:rsidRPr="00A315B4">
        <w:rPr>
          <w:sz w:val="24"/>
          <w:szCs w:val="24"/>
        </w:rPr>
        <w:t xml:space="preserve"> naredno srednjoročno razdoblje putem prijedloga financijskih planova.</w:t>
      </w:r>
    </w:p>
    <w:p w14:paraId="39A1456D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7AF134D2" w14:textId="01E4C214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Korisnici proračuna Hercegbosanske županije su imali obvezu pripremiti i dostaviti Ministarstvu financija svoje tablice pregleda prioriteta proračunskih korisnika. Cilj tablica je da proračunskim korisnicima pruže mogućnost da doprinesu izradi Dokumenta okvirnog proračuna za razdob</w:t>
      </w:r>
      <w:r w:rsidR="001D2B50" w:rsidRPr="00A315B4">
        <w:rPr>
          <w:sz w:val="24"/>
          <w:szCs w:val="24"/>
        </w:rPr>
        <w:t>lje 202</w:t>
      </w:r>
      <w:r w:rsidR="00022811">
        <w:rPr>
          <w:sz w:val="24"/>
          <w:szCs w:val="24"/>
        </w:rPr>
        <w:t>7</w:t>
      </w:r>
      <w:r w:rsidR="001D2B50" w:rsidRPr="00A315B4">
        <w:rPr>
          <w:sz w:val="24"/>
          <w:szCs w:val="24"/>
        </w:rPr>
        <w:t>.-202</w:t>
      </w:r>
      <w:r w:rsidR="00022811">
        <w:rPr>
          <w:sz w:val="24"/>
          <w:szCs w:val="24"/>
        </w:rPr>
        <w:t>9</w:t>
      </w:r>
      <w:r w:rsidRPr="00A315B4">
        <w:rPr>
          <w:sz w:val="24"/>
          <w:szCs w:val="24"/>
        </w:rPr>
        <w:t xml:space="preserve">. godine tako što će odrediti </w:t>
      </w:r>
      <w:r w:rsidR="001D2B50" w:rsidRPr="00A315B4">
        <w:rPr>
          <w:sz w:val="24"/>
          <w:szCs w:val="24"/>
        </w:rPr>
        <w:t>svoje ključne prioritete za 202</w:t>
      </w:r>
      <w:r w:rsidR="00022811">
        <w:rPr>
          <w:sz w:val="24"/>
          <w:szCs w:val="24"/>
        </w:rPr>
        <w:t>7</w:t>
      </w:r>
      <w:r w:rsidRPr="00A315B4">
        <w:rPr>
          <w:sz w:val="24"/>
          <w:szCs w:val="24"/>
        </w:rPr>
        <w:t xml:space="preserve">. godinu i naredne dvije godine. </w:t>
      </w:r>
    </w:p>
    <w:p w14:paraId="12844E68" w14:textId="77777777" w:rsidR="00CF152E" w:rsidRPr="00A315B4" w:rsidRDefault="00CF152E" w:rsidP="00CF152E">
      <w:pPr>
        <w:jc w:val="both"/>
        <w:rPr>
          <w:sz w:val="24"/>
          <w:szCs w:val="24"/>
        </w:rPr>
      </w:pPr>
    </w:p>
    <w:p w14:paraId="78C0B7D5" w14:textId="7BE2FF6E" w:rsidR="00CF152E" w:rsidRPr="00A315B4" w:rsidRDefault="00CF152E" w:rsidP="00CF152E">
      <w:pPr>
        <w:ind w:firstLine="708"/>
        <w:jc w:val="both"/>
        <w:rPr>
          <w:sz w:val="24"/>
          <w:szCs w:val="24"/>
        </w:rPr>
      </w:pPr>
      <w:r w:rsidRPr="00A315B4">
        <w:rPr>
          <w:sz w:val="24"/>
          <w:szCs w:val="24"/>
        </w:rPr>
        <w:t>U ovom poglavlju daje se projekcija prihoda i primitaka te rashoda i izdataka za općine i zavode Hercegbosa</w:t>
      </w:r>
      <w:r w:rsidR="001D2B50" w:rsidRPr="00A315B4">
        <w:rPr>
          <w:sz w:val="24"/>
          <w:szCs w:val="24"/>
        </w:rPr>
        <w:t>nske županije, za razdoblje 202</w:t>
      </w:r>
      <w:r w:rsidR="00022811">
        <w:rPr>
          <w:sz w:val="24"/>
          <w:szCs w:val="24"/>
        </w:rPr>
        <w:t>7</w:t>
      </w:r>
      <w:r w:rsidR="001D2B50" w:rsidRPr="00A315B4">
        <w:rPr>
          <w:sz w:val="24"/>
          <w:szCs w:val="24"/>
        </w:rPr>
        <w:t>.-202</w:t>
      </w:r>
      <w:r w:rsidR="00022811">
        <w:rPr>
          <w:sz w:val="24"/>
          <w:szCs w:val="24"/>
        </w:rPr>
        <w:t>9</w:t>
      </w:r>
      <w:r w:rsidRPr="00A315B4">
        <w:rPr>
          <w:sz w:val="24"/>
          <w:szCs w:val="24"/>
        </w:rPr>
        <w:t>. godine. Temeljem podataka iz završnog obračuna općina i zavoda obrazac-GIB - Godišnje izvješ</w:t>
      </w:r>
      <w:r w:rsidR="001D2B50" w:rsidRPr="00A315B4">
        <w:rPr>
          <w:sz w:val="24"/>
          <w:szCs w:val="24"/>
        </w:rPr>
        <w:t>će o izvršenju proračuna za 202</w:t>
      </w:r>
      <w:r w:rsidR="00022811">
        <w:rPr>
          <w:sz w:val="24"/>
          <w:szCs w:val="24"/>
        </w:rPr>
        <w:t>6</w:t>
      </w:r>
      <w:r w:rsidRPr="00A315B4">
        <w:rPr>
          <w:sz w:val="24"/>
          <w:szCs w:val="24"/>
        </w:rPr>
        <w:t>. godinu daje se pregled ostvarenih prihoda i rashoda za općine i zavode. U koloni 3. priloženih tablica daje se pregled planiranih prihoda i rashoda za iste.</w:t>
      </w:r>
    </w:p>
    <w:p w14:paraId="14594E3C" w14:textId="77777777" w:rsidR="00CF152E" w:rsidRPr="00A315B4" w:rsidRDefault="00CF152E" w:rsidP="00CF152E">
      <w:pPr>
        <w:ind w:firstLine="708"/>
        <w:jc w:val="both"/>
        <w:rPr>
          <w:sz w:val="24"/>
          <w:szCs w:val="24"/>
        </w:rPr>
      </w:pPr>
    </w:p>
    <w:p w14:paraId="411AFDFB" w14:textId="3F3BEBD8" w:rsidR="00CF152E" w:rsidRPr="00BC51EB" w:rsidRDefault="00CF152E" w:rsidP="00CF152E">
      <w:pPr>
        <w:ind w:firstLine="708"/>
        <w:jc w:val="both"/>
        <w:rPr>
          <w:color w:val="FF0000"/>
          <w:sz w:val="24"/>
          <w:szCs w:val="24"/>
        </w:rPr>
      </w:pPr>
      <w:r w:rsidRPr="00A315B4">
        <w:rPr>
          <w:sz w:val="24"/>
          <w:szCs w:val="24"/>
        </w:rPr>
        <w:t>Projekcija prihoda i rashoda u ovom DOP-u izvršena je na temelj</w:t>
      </w:r>
      <w:r w:rsidR="00BC51EB" w:rsidRPr="00A315B4">
        <w:rPr>
          <w:sz w:val="24"/>
          <w:szCs w:val="24"/>
        </w:rPr>
        <w:t>u ostvarenih pokazatelja za 202</w:t>
      </w:r>
      <w:r w:rsidR="00022811">
        <w:rPr>
          <w:sz w:val="24"/>
          <w:szCs w:val="24"/>
        </w:rPr>
        <w:t>5</w:t>
      </w:r>
      <w:r w:rsidRPr="00A315B4">
        <w:rPr>
          <w:sz w:val="24"/>
          <w:szCs w:val="24"/>
        </w:rPr>
        <w:t>. godinu, te na temelju rasta realnog BDP-a u Federaciji BiH.  Dakle projekciju smo uradili na temelju ostvarenog izvršenja prihoda i primita</w:t>
      </w:r>
      <w:r w:rsidR="00BC51EB" w:rsidRPr="00A315B4">
        <w:rPr>
          <w:sz w:val="24"/>
          <w:szCs w:val="24"/>
        </w:rPr>
        <w:t>ka te rashoda i izdataka za 202</w:t>
      </w:r>
      <w:r w:rsidR="00022811">
        <w:rPr>
          <w:sz w:val="24"/>
          <w:szCs w:val="24"/>
        </w:rPr>
        <w:t>5</w:t>
      </w:r>
      <w:r w:rsidRPr="00A315B4">
        <w:rPr>
          <w:sz w:val="24"/>
          <w:szCs w:val="24"/>
        </w:rPr>
        <w:t>. godinu, korigirajući svaku fiskalnu godinu postotkom rasta realnog BDP-a, za Federaciju Bosne i Hercegovine, sukladno tablici iz Poglavlja 2. – Srednjoročna makroekonomska prognoza.</w:t>
      </w:r>
    </w:p>
    <w:p w14:paraId="438E6A23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498AA664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671E36D2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0D2A1718" w14:textId="77777777" w:rsidR="00754CCC" w:rsidRDefault="00754CCC" w:rsidP="00CF152E">
      <w:pPr>
        <w:jc w:val="both"/>
        <w:rPr>
          <w:rFonts w:ascii="Arial" w:hAnsi="Arial" w:cs="Arial"/>
          <w:szCs w:val="22"/>
        </w:rPr>
      </w:pPr>
    </w:p>
    <w:p w14:paraId="22C4B06A" w14:textId="77777777" w:rsidR="00803075" w:rsidRDefault="00803075" w:rsidP="00CF152E">
      <w:pPr>
        <w:jc w:val="both"/>
        <w:rPr>
          <w:rFonts w:ascii="Arial" w:hAnsi="Arial" w:cs="Arial"/>
          <w:szCs w:val="22"/>
        </w:rPr>
      </w:pPr>
    </w:p>
    <w:p w14:paraId="6EB08AED" w14:textId="77777777" w:rsidR="00803075" w:rsidRDefault="00803075" w:rsidP="00CF152E">
      <w:pPr>
        <w:jc w:val="both"/>
        <w:rPr>
          <w:rFonts w:ascii="Arial" w:hAnsi="Arial" w:cs="Arial"/>
          <w:szCs w:val="22"/>
        </w:rPr>
      </w:pPr>
    </w:p>
    <w:p w14:paraId="05CE9DB0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62841884" w14:textId="5E0E04CA" w:rsidR="00CF152E" w:rsidRPr="00337281" w:rsidRDefault="00877702" w:rsidP="00877702">
      <w:pPr>
        <w:pStyle w:val="Opisslike"/>
      </w:pPr>
      <w:bookmarkStart w:id="146" w:name="_Toc106179195"/>
      <w:bookmarkStart w:id="147" w:name="_Toc232407861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13</w:t>
      </w:r>
      <w:r w:rsidR="00D82381">
        <w:fldChar w:fldCharType="end"/>
      </w:r>
      <w:r w:rsidR="00CF152E" w:rsidRPr="00337281">
        <w:t>. Projekcija prihoda i rashod</w:t>
      </w:r>
      <w:r w:rsidR="00657A9D">
        <w:t>a općina HBŽ-e za razdoblje 202</w:t>
      </w:r>
      <w:r w:rsidR="00022811">
        <w:t>7</w:t>
      </w:r>
      <w:r w:rsidR="00657A9D">
        <w:t>.-202</w:t>
      </w:r>
      <w:r w:rsidR="00022811">
        <w:t>9</w:t>
      </w:r>
      <w:r w:rsidR="00CF152E" w:rsidRPr="00337281">
        <w:t>.godine (sintetički ekon. kod)  u apsolutnim iznosima</w:t>
      </w:r>
      <w:bookmarkEnd w:id="146"/>
      <w:r w:rsidR="00657A9D">
        <w:t xml:space="preserve"> KM</w:t>
      </w:r>
      <w:bookmarkEnd w:id="147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671"/>
        <w:gridCol w:w="1770"/>
        <w:gridCol w:w="1770"/>
        <w:gridCol w:w="1428"/>
        <w:gridCol w:w="1428"/>
        <w:gridCol w:w="1428"/>
        <w:gridCol w:w="1428"/>
      </w:tblGrid>
      <w:tr w:rsidR="00657A9D" w:rsidRPr="00657A9D" w14:paraId="1D87C027" w14:textId="77777777" w:rsidTr="00AB6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Merge w:val="restart"/>
            <w:noWrap/>
            <w:hideMark/>
          </w:tcPr>
          <w:p w14:paraId="00AD66E9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657A9D">
              <w:rPr>
                <w:rFonts w:ascii="Calibri" w:hAnsi="Calibri" w:cs="Calibri"/>
                <w:color w:val="000000"/>
                <w:szCs w:val="22"/>
              </w:rPr>
              <w:t>R.b</w:t>
            </w:r>
            <w:proofErr w:type="spellEnd"/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vMerge w:val="restart"/>
            <w:noWrap/>
            <w:hideMark/>
          </w:tcPr>
          <w:p w14:paraId="17519BCA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KONTO</w:t>
            </w:r>
          </w:p>
        </w:tc>
        <w:tc>
          <w:tcPr>
            <w:tcW w:w="1770" w:type="dxa"/>
            <w:vMerge w:val="restart"/>
            <w:hideMark/>
          </w:tcPr>
          <w:p w14:paraId="30D24F21" w14:textId="51DD8888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OSTVARENO 202</w:t>
            </w:r>
            <w:r w:rsidR="00022811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5712" w:type="dxa"/>
            <w:gridSpan w:val="4"/>
            <w:noWrap/>
            <w:hideMark/>
          </w:tcPr>
          <w:p w14:paraId="0F32738E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</w:tr>
      <w:tr w:rsidR="00657A9D" w:rsidRPr="00657A9D" w14:paraId="18F1F823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Merge/>
            <w:hideMark/>
          </w:tcPr>
          <w:p w14:paraId="7BE364C7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0" w:type="dxa"/>
            <w:vMerge/>
            <w:hideMark/>
          </w:tcPr>
          <w:p w14:paraId="5D9E2F39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770" w:type="dxa"/>
            <w:vMerge/>
            <w:hideMark/>
          </w:tcPr>
          <w:p w14:paraId="188688C8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28" w:type="dxa"/>
            <w:noWrap/>
            <w:hideMark/>
          </w:tcPr>
          <w:p w14:paraId="7C3A29C8" w14:textId="333C62CC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22811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428" w:type="dxa"/>
            <w:noWrap/>
            <w:hideMark/>
          </w:tcPr>
          <w:p w14:paraId="5E61E8A6" w14:textId="5914C784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22811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428" w:type="dxa"/>
            <w:noWrap/>
            <w:hideMark/>
          </w:tcPr>
          <w:p w14:paraId="6D27000B" w14:textId="11E459DE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22811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428" w:type="dxa"/>
            <w:noWrap/>
            <w:hideMark/>
          </w:tcPr>
          <w:p w14:paraId="0C399ABD" w14:textId="554BE50A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22811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</w:tr>
      <w:tr w:rsidR="00657A9D" w:rsidRPr="00657A9D" w14:paraId="48C05A70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5C92864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770" w:type="dxa"/>
            <w:noWrap/>
            <w:hideMark/>
          </w:tcPr>
          <w:p w14:paraId="611F375A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770" w:type="dxa"/>
            <w:noWrap/>
            <w:hideMark/>
          </w:tcPr>
          <w:p w14:paraId="059B6C4A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28" w:type="dxa"/>
            <w:noWrap/>
            <w:hideMark/>
          </w:tcPr>
          <w:p w14:paraId="3695F846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28" w:type="dxa"/>
            <w:noWrap/>
            <w:hideMark/>
          </w:tcPr>
          <w:p w14:paraId="32626168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  <w:r w:rsidRPr="0038494E">
              <w:rPr>
                <w:rFonts w:ascii="Calibri" w:hAnsi="Calibri" w:cs="Calibri"/>
                <w:b/>
                <w:bCs/>
                <w:color w:val="000000"/>
                <w:szCs w:val="22"/>
              </w:rPr>
              <w:t>(2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*1,03)</w:t>
            </w:r>
          </w:p>
        </w:tc>
        <w:tc>
          <w:tcPr>
            <w:tcW w:w="1428" w:type="dxa"/>
            <w:noWrap/>
            <w:hideMark/>
          </w:tcPr>
          <w:p w14:paraId="033FB3AB" w14:textId="6E8FC6C3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5(4*1,03</w:t>
            </w:r>
            <w:r w:rsidR="0068484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428" w:type="dxa"/>
            <w:noWrap/>
            <w:hideMark/>
          </w:tcPr>
          <w:p w14:paraId="3DDC5547" w14:textId="1CC91A62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6(5*1,03</w:t>
            </w:r>
            <w:r w:rsidR="0068484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657A9D" w:rsidRPr="00657A9D" w14:paraId="32AB1306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65A5CC6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1770" w:type="dxa"/>
            <w:noWrap/>
            <w:hideMark/>
          </w:tcPr>
          <w:p w14:paraId="23A5C27E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PRIH.I PRIM.</w:t>
            </w:r>
          </w:p>
        </w:tc>
        <w:tc>
          <w:tcPr>
            <w:tcW w:w="1770" w:type="dxa"/>
            <w:noWrap/>
            <w:hideMark/>
          </w:tcPr>
          <w:p w14:paraId="292315D8" w14:textId="4132A45F" w:rsidR="00657A9D" w:rsidRPr="00657A9D" w:rsidRDefault="002F383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  <w:r w:rsidR="00C05A7A">
              <w:rPr>
                <w:rFonts w:ascii="Calibri" w:hAnsi="Calibri" w:cs="Calibri"/>
                <w:b/>
                <w:bCs/>
                <w:color w:val="000000"/>
                <w:szCs w:val="22"/>
              </w:rPr>
              <w:t>7.060.734</w:t>
            </w:r>
          </w:p>
        </w:tc>
        <w:tc>
          <w:tcPr>
            <w:tcW w:w="1428" w:type="dxa"/>
            <w:noWrap/>
            <w:hideMark/>
          </w:tcPr>
          <w:p w14:paraId="4209D08B" w14:textId="05B198EA" w:rsidR="00657A9D" w:rsidRPr="00657A9D" w:rsidRDefault="00B7364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6.949.070</w:t>
            </w:r>
          </w:p>
        </w:tc>
        <w:tc>
          <w:tcPr>
            <w:tcW w:w="1428" w:type="dxa"/>
            <w:noWrap/>
            <w:hideMark/>
          </w:tcPr>
          <w:p w14:paraId="0D922C81" w14:textId="4ADB97EC" w:rsidR="00657A9D" w:rsidRPr="00657A9D" w:rsidRDefault="00CB622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58.772.556</w:t>
            </w:r>
          </w:p>
        </w:tc>
        <w:tc>
          <w:tcPr>
            <w:tcW w:w="1428" w:type="dxa"/>
            <w:noWrap/>
            <w:hideMark/>
          </w:tcPr>
          <w:p w14:paraId="3BC219B2" w14:textId="31F1393F" w:rsidR="00657A9D" w:rsidRPr="00657A9D" w:rsidRDefault="00CB622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60.594.504</w:t>
            </w:r>
          </w:p>
        </w:tc>
        <w:tc>
          <w:tcPr>
            <w:tcW w:w="1428" w:type="dxa"/>
            <w:noWrap/>
            <w:hideMark/>
          </w:tcPr>
          <w:p w14:paraId="20608A6C" w14:textId="05BB8D0C" w:rsidR="00657A9D" w:rsidRPr="00657A9D" w:rsidRDefault="00967908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67908">
              <w:rPr>
                <w:rFonts w:ascii="Calibri" w:hAnsi="Calibri" w:cs="Calibri"/>
                <w:b/>
                <w:bCs/>
                <w:color w:val="000000"/>
                <w:szCs w:val="22"/>
              </w:rPr>
              <w:t>62.594.123</w:t>
            </w:r>
          </w:p>
        </w:tc>
      </w:tr>
      <w:tr w:rsidR="00657A9D" w:rsidRPr="00657A9D" w14:paraId="7227BE45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8059316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1770" w:type="dxa"/>
            <w:noWrap/>
            <w:hideMark/>
          </w:tcPr>
          <w:p w14:paraId="38E89EE4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710000</w:t>
            </w:r>
          </w:p>
        </w:tc>
        <w:tc>
          <w:tcPr>
            <w:tcW w:w="1770" w:type="dxa"/>
            <w:noWrap/>
            <w:hideMark/>
          </w:tcPr>
          <w:p w14:paraId="4F2459E2" w14:textId="24888526" w:rsidR="00657A9D" w:rsidRPr="00657A9D" w:rsidRDefault="00846D16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  <w:r w:rsidR="002F3834">
              <w:rPr>
                <w:rFonts w:ascii="Calibri" w:hAnsi="Calibri" w:cs="Calibri"/>
                <w:b/>
                <w:bCs/>
                <w:color w:val="000000"/>
                <w:szCs w:val="22"/>
              </w:rPr>
              <w:t>5.738.157</w:t>
            </w:r>
          </w:p>
        </w:tc>
        <w:tc>
          <w:tcPr>
            <w:tcW w:w="1428" w:type="dxa"/>
            <w:noWrap/>
            <w:hideMark/>
          </w:tcPr>
          <w:p w14:paraId="409910C3" w14:textId="6271597A" w:rsidR="00657A9D" w:rsidRPr="00657A9D" w:rsidRDefault="00495F0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  <w:r w:rsidR="00B73649">
              <w:rPr>
                <w:rFonts w:ascii="Calibri" w:hAnsi="Calibri" w:cs="Calibri"/>
                <w:b/>
                <w:bCs/>
                <w:color w:val="000000"/>
                <w:szCs w:val="22"/>
              </w:rPr>
              <w:t>6.697.551</w:t>
            </w:r>
          </w:p>
        </w:tc>
        <w:tc>
          <w:tcPr>
            <w:tcW w:w="1428" w:type="dxa"/>
            <w:noWrap/>
            <w:hideMark/>
          </w:tcPr>
          <w:p w14:paraId="4B24E4A0" w14:textId="71771590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b/>
                <w:bCs/>
                <w:color w:val="000000"/>
                <w:szCs w:val="22"/>
              </w:rPr>
              <w:t>26.510.301</w:t>
            </w:r>
          </w:p>
        </w:tc>
        <w:tc>
          <w:tcPr>
            <w:tcW w:w="1428" w:type="dxa"/>
            <w:noWrap/>
            <w:hideMark/>
          </w:tcPr>
          <w:p w14:paraId="6163BB85" w14:textId="244AB576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b/>
                <w:bCs/>
                <w:color w:val="000000"/>
                <w:szCs w:val="22"/>
              </w:rPr>
              <w:t>27.332.120</w:t>
            </w:r>
          </w:p>
        </w:tc>
        <w:tc>
          <w:tcPr>
            <w:tcW w:w="1428" w:type="dxa"/>
            <w:noWrap/>
            <w:hideMark/>
          </w:tcPr>
          <w:p w14:paraId="4A1DBEA6" w14:textId="17C2B0C7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b/>
                <w:bCs/>
                <w:color w:val="000000"/>
                <w:szCs w:val="22"/>
              </w:rPr>
              <w:t>28.234.080</w:t>
            </w:r>
          </w:p>
        </w:tc>
      </w:tr>
      <w:tr w:rsidR="00657A9D" w:rsidRPr="00657A9D" w14:paraId="6D6F65E2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79BB4058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3.</w:t>
            </w:r>
          </w:p>
        </w:tc>
        <w:tc>
          <w:tcPr>
            <w:tcW w:w="1770" w:type="dxa"/>
            <w:noWrap/>
            <w:hideMark/>
          </w:tcPr>
          <w:p w14:paraId="1FA063BC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711000</w:t>
            </w:r>
          </w:p>
        </w:tc>
        <w:tc>
          <w:tcPr>
            <w:tcW w:w="1770" w:type="dxa"/>
            <w:noWrap/>
            <w:hideMark/>
          </w:tcPr>
          <w:p w14:paraId="671EEF32" w14:textId="3849D4FD" w:rsidR="00657A9D" w:rsidRPr="00657A9D" w:rsidRDefault="002F383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9.403</w:t>
            </w:r>
          </w:p>
        </w:tc>
        <w:tc>
          <w:tcPr>
            <w:tcW w:w="1428" w:type="dxa"/>
            <w:noWrap/>
            <w:hideMark/>
          </w:tcPr>
          <w:p w14:paraId="28CB5171" w14:textId="547CA2E8" w:rsidR="00657A9D" w:rsidRPr="00657A9D" w:rsidRDefault="009B6B0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</w:t>
            </w:r>
            <w:r w:rsidR="00862B5C">
              <w:rPr>
                <w:rFonts w:ascii="Calibri" w:hAnsi="Calibri" w:cs="Calibri"/>
                <w:color w:val="000000"/>
                <w:szCs w:val="22"/>
              </w:rPr>
              <w:t>533</w:t>
            </w:r>
          </w:p>
        </w:tc>
        <w:tc>
          <w:tcPr>
            <w:tcW w:w="1428" w:type="dxa"/>
            <w:noWrap/>
            <w:hideMark/>
          </w:tcPr>
          <w:p w14:paraId="1B0034B2" w14:textId="7BCAA47B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8494E">
              <w:rPr>
                <w:rFonts w:ascii="Calibri" w:hAnsi="Calibri" w:cs="Calibri"/>
                <w:color w:val="000000"/>
                <w:szCs w:val="22"/>
              </w:rPr>
              <w:t>9.685</w:t>
            </w:r>
          </w:p>
        </w:tc>
        <w:tc>
          <w:tcPr>
            <w:tcW w:w="1428" w:type="dxa"/>
            <w:noWrap/>
            <w:hideMark/>
          </w:tcPr>
          <w:p w14:paraId="71F23F91" w14:textId="6A58F28C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38494E">
              <w:rPr>
                <w:rFonts w:ascii="Calibri" w:hAnsi="Calibri" w:cs="Calibri"/>
                <w:color w:val="000000"/>
                <w:szCs w:val="22"/>
              </w:rPr>
              <w:t>9.985</w:t>
            </w:r>
          </w:p>
        </w:tc>
        <w:tc>
          <w:tcPr>
            <w:tcW w:w="1428" w:type="dxa"/>
            <w:noWrap/>
            <w:hideMark/>
          </w:tcPr>
          <w:p w14:paraId="757D92A3" w14:textId="0C56CE10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10.315</w:t>
            </w:r>
          </w:p>
        </w:tc>
      </w:tr>
      <w:tr w:rsidR="00657A9D" w:rsidRPr="00657A9D" w14:paraId="4854871A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5A473E1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4.</w:t>
            </w:r>
          </w:p>
        </w:tc>
        <w:tc>
          <w:tcPr>
            <w:tcW w:w="1770" w:type="dxa"/>
            <w:noWrap/>
            <w:hideMark/>
          </w:tcPr>
          <w:p w14:paraId="70FE646A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712000</w:t>
            </w:r>
          </w:p>
        </w:tc>
        <w:tc>
          <w:tcPr>
            <w:tcW w:w="1770" w:type="dxa"/>
            <w:noWrap/>
            <w:hideMark/>
          </w:tcPr>
          <w:p w14:paraId="6A5F2300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5ECEB7CD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3B6E1687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096317D5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3995F13D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657A9D" w:rsidRPr="00657A9D" w14:paraId="6905C4D7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DCFD765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5.</w:t>
            </w:r>
          </w:p>
        </w:tc>
        <w:tc>
          <w:tcPr>
            <w:tcW w:w="1770" w:type="dxa"/>
            <w:noWrap/>
            <w:hideMark/>
          </w:tcPr>
          <w:p w14:paraId="59872D8F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713000</w:t>
            </w:r>
          </w:p>
        </w:tc>
        <w:tc>
          <w:tcPr>
            <w:tcW w:w="1770" w:type="dxa"/>
            <w:noWrap/>
            <w:hideMark/>
          </w:tcPr>
          <w:p w14:paraId="31EBA822" w14:textId="140D3D90" w:rsidR="00657A9D" w:rsidRPr="00657A9D" w:rsidRDefault="002F383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47.754</w:t>
            </w:r>
          </w:p>
        </w:tc>
        <w:tc>
          <w:tcPr>
            <w:tcW w:w="1428" w:type="dxa"/>
            <w:noWrap/>
            <w:hideMark/>
          </w:tcPr>
          <w:p w14:paraId="389DEA62" w14:textId="51FC4101" w:rsidR="00657A9D" w:rsidRPr="00657A9D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6.080</w:t>
            </w:r>
          </w:p>
        </w:tc>
        <w:tc>
          <w:tcPr>
            <w:tcW w:w="1428" w:type="dxa"/>
            <w:noWrap/>
            <w:hideMark/>
          </w:tcPr>
          <w:p w14:paraId="1D3576C3" w14:textId="4A1EBED7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49.187</w:t>
            </w:r>
          </w:p>
        </w:tc>
        <w:tc>
          <w:tcPr>
            <w:tcW w:w="1428" w:type="dxa"/>
            <w:noWrap/>
            <w:hideMark/>
          </w:tcPr>
          <w:p w14:paraId="2719E36B" w14:textId="293F9B35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50.711</w:t>
            </w:r>
          </w:p>
        </w:tc>
        <w:tc>
          <w:tcPr>
            <w:tcW w:w="1428" w:type="dxa"/>
            <w:noWrap/>
            <w:hideMark/>
          </w:tcPr>
          <w:p w14:paraId="27364BC6" w14:textId="2773267B" w:rsidR="00657A9D" w:rsidRPr="00657A9D" w:rsidRDefault="003849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52.38</w:t>
            </w:r>
            <w:r w:rsidR="00F005A4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657A9D" w:rsidRPr="00657A9D" w14:paraId="348BA21E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D5D6B1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6.</w:t>
            </w:r>
          </w:p>
        </w:tc>
        <w:tc>
          <w:tcPr>
            <w:tcW w:w="1770" w:type="dxa"/>
            <w:noWrap/>
            <w:hideMark/>
          </w:tcPr>
          <w:p w14:paraId="23E2E671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714000</w:t>
            </w:r>
          </w:p>
        </w:tc>
        <w:tc>
          <w:tcPr>
            <w:tcW w:w="1770" w:type="dxa"/>
            <w:noWrap/>
            <w:hideMark/>
          </w:tcPr>
          <w:p w14:paraId="52AF4BA6" w14:textId="1C964368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  <w:r w:rsidR="002F3834">
              <w:rPr>
                <w:rFonts w:ascii="Calibri" w:hAnsi="Calibri" w:cs="Calibri"/>
                <w:color w:val="000000"/>
                <w:szCs w:val="22"/>
              </w:rPr>
              <w:t>192.416</w:t>
            </w:r>
          </w:p>
        </w:tc>
        <w:tc>
          <w:tcPr>
            <w:tcW w:w="1428" w:type="dxa"/>
            <w:noWrap/>
            <w:hideMark/>
          </w:tcPr>
          <w:p w14:paraId="29F60DE7" w14:textId="25DADB54" w:rsidR="00657A9D" w:rsidRPr="00657A9D" w:rsidRDefault="00495F0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</w:t>
            </w:r>
            <w:r w:rsidR="009B6B0E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11.840</w:t>
            </w:r>
          </w:p>
        </w:tc>
        <w:tc>
          <w:tcPr>
            <w:tcW w:w="1428" w:type="dxa"/>
            <w:noWrap/>
            <w:hideMark/>
          </w:tcPr>
          <w:p w14:paraId="5F800E4A" w14:textId="2B1C6ACE" w:rsidR="00657A9D" w:rsidRPr="00657A9D" w:rsidRDefault="00F005A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005A4">
              <w:rPr>
                <w:rFonts w:ascii="Calibri" w:hAnsi="Calibri" w:cs="Calibri"/>
                <w:color w:val="000000"/>
                <w:szCs w:val="22"/>
              </w:rPr>
              <w:t>1.228.188</w:t>
            </w:r>
          </w:p>
        </w:tc>
        <w:tc>
          <w:tcPr>
            <w:tcW w:w="1428" w:type="dxa"/>
            <w:noWrap/>
            <w:hideMark/>
          </w:tcPr>
          <w:p w14:paraId="4EB10FA3" w14:textId="745FFA3B" w:rsidR="00657A9D" w:rsidRPr="00657A9D" w:rsidRDefault="00F005A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005A4">
              <w:rPr>
                <w:rFonts w:ascii="Calibri" w:hAnsi="Calibri" w:cs="Calibri"/>
                <w:color w:val="000000"/>
                <w:szCs w:val="22"/>
              </w:rPr>
              <w:t>1.266.262</w:t>
            </w:r>
          </w:p>
        </w:tc>
        <w:tc>
          <w:tcPr>
            <w:tcW w:w="1428" w:type="dxa"/>
            <w:noWrap/>
            <w:hideMark/>
          </w:tcPr>
          <w:p w14:paraId="79B1C97C" w14:textId="65A17F7F" w:rsidR="00657A9D" w:rsidRPr="00657A9D" w:rsidRDefault="00F005A4" w:rsidP="00F00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</w:t>
            </w:r>
            <w:r w:rsidRPr="00F005A4">
              <w:rPr>
                <w:rFonts w:ascii="Calibri" w:hAnsi="Calibri" w:cs="Calibri"/>
                <w:color w:val="000000"/>
                <w:szCs w:val="22"/>
              </w:rPr>
              <w:t>1.308.04</w:t>
            </w: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</w:tr>
      <w:tr w:rsidR="00657A9D" w:rsidRPr="00657A9D" w14:paraId="33238D43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BD72D57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7.</w:t>
            </w:r>
          </w:p>
        </w:tc>
        <w:tc>
          <w:tcPr>
            <w:tcW w:w="1770" w:type="dxa"/>
            <w:noWrap/>
            <w:hideMark/>
          </w:tcPr>
          <w:p w14:paraId="38F357A5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715000</w:t>
            </w:r>
          </w:p>
        </w:tc>
        <w:tc>
          <w:tcPr>
            <w:tcW w:w="1770" w:type="dxa"/>
            <w:noWrap/>
            <w:hideMark/>
          </w:tcPr>
          <w:p w14:paraId="6A76244A" w14:textId="793F332F" w:rsidR="00657A9D" w:rsidRPr="00657A9D" w:rsidRDefault="002F383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7.070</w:t>
            </w:r>
          </w:p>
        </w:tc>
        <w:tc>
          <w:tcPr>
            <w:tcW w:w="1428" w:type="dxa"/>
            <w:noWrap/>
            <w:hideMark/>
          </w:tcPr>
          <w:p w14:paraId="515B126F" w14:textId="6D6354CE" w:rsidR="00657A9D" w:rsidRPr="00657A9D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6.990</w:t>
            </w:r>
          </w:p>
        </w:tc>
        <w:tc>
          <w:tcPr>
            <w:tcW w:w="1428" w:type="dxa"/>
            <w:noWrap/>
            <w:hideMark/>
          </w:tcPr>
          <w:p w14:paraId="2DDF0737" w14:textId="5488FF3C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7.282</w:t>
            </w:r>
          </w:p>
        </w:tc>
        <w:tc>
          <w:tcPr>
            <w:tcW w:w="1428" w:type="dxa"/>
            <w:noWrap/>
            <w:hideMark/>
          </w:tcPr>
          <w:p w14:paraId="6024891E" w14:textId="7E14EE69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7.50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74AD3051" w14:textId="4150B7AF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7.75</w:t>
            </w: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657A9D" w:rsidRPr="00657A9D" w14:paraId="04AABEC4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75EF044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8.</w:t>
            </w:r>
          </w:p>
        </w:tc>
        <w:tc>
          <w:tcPr>
            <w:tcW w:w="1770" w:type="dxa"/>
            <w:noWrap/>
            <w:hideMark/>
          </w:tcPr>
          <w:p w14:paraId="6D84EA51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716000</w:t>
            </w:r>
          </w:p>
        </w:tc>
        <w:tc>
          <w:tcPr>
            <w:tcW w:w="1770" w:type="dxa"/>
            <w:noWrap/>
            <w:hideMark/>
          </w:tcPr>
          <w:p w14:paraId="1F1E1871" w14:textId="27F56AEB" w:rsidR="00657A9D" w:rsidRPr="00657A9D" w:rsidRDefault="002F383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6.106.700</w:t>
            </w:r>
          </w:p>
        </w:tc>
        <w:tc>
          <w:tcPr>
            <w:tcW w:w="1428" w:type="dxa"/>
            <w:noWrap/>
            <w:hideMark/>
          </w:tcPr>
          <w:p w14:paraId="609C79FF" w14:textId="5E9F8271" w:rsidR="00657A9D" w:rsidRPr="00657A9D" w:rsidRDefault="009B6B0E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194.400</w:t>
            </w:r>
          </w:p>
        </w:tc>
        <w:tc>
          <w:tcPr>
            <w:tcW w:w="1428" w:type="dxa"/>
            <w:noWrap/>
            <w:hideMark/>
          </w:tcPr>
          <w:p w14:paraId="6E010865" w14:textId="692BB6BD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6.289.901</w:t>
            </w:r>
          </w:p>
        </w:tc>
        <w:tc>
          <w:tcPr>
            <w:tcW w:w="1428" w:type="dxa"/>
            <w:noWrap/>
            <w:hideMark/>
          </w:tcPr>
          <w:p w14:paraId="38AC05F3" w14:textId="73CA4288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6.484.88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3A6D0D79" w14:textId="7989B577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6.698.889</w:t>
            </w:r>
          </w:p>
        </w:tc>
      </w:tr>
      <w:tr w:rsidR="00657A9D" w:rsidRPr="00657A9D" w14:paraId="1D21FBD6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25651695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9.</w:t>
            </w:r>
          </w:p>
        </w:tc>
        <w:tc>
          <w:tcPr>
            <w:tcW w:w="1770" w:type="dxa"/>
            <w:noWrap/>
            <w:hideMark/>
          </w:tcPr>
          <w:p w14:paraId="32202081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717000</w:t>
            </w:r>
          </w:p>
        </w:tc>
        <w:tc>
          <w:tcPr>
            <w:tcW w:w="1770" w:type="dxa"/>
            <w:noWrap/>
            <w:hideMark/>
          </w:tcPr>
          <w:p w14:paraId="158BCE8E" w14:textId="3CA4B028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F3834">
              <w:rPr>
                <w:rFonts w:ascii="Calibri" w:hAnsi="Calibri" w:cs="Calibri"/>
                <w:color w:val="000000"/>
                <w:szCs w:val="22"/>
              </w:rPr>
              <w:t>8.046.731</w:t>
            </w:r>
          </w:p>
        </w:tc>
        <w:tc>
          <w:tcPr>
            <w:tcW w:w="1428" w:type="dxa"/>
            <w:noWrap/>
            <w:hideMark/>
          </w:tcPr>
          <w:p w14:paraId="2F7FE153" w14:textId="1B041326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8.922.338</w:t>
            </w:r>
          </w:p>
        </w:tc>
        <w:tc>
          <w:tcPr>
            <w:tcW w:w="1428" w:type="dxa"/>
            <w:noWrap/>
            <w:hideMark/>
          </w:tcPr>
          <w:p w14:paraId="57F3E86B" w14:textId="0346BA21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18.588.13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428" w:type="dxa"/>
            <w:noWrap/>
            <w:hideMark/>
          </w:tcPr>
          <w:p w14:paraId="432844B6" w14:textId="5EBFD858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19.164.365</w:t>
            </w:r>
          </w:p>
        </w:tc>
        <w:tc>
          <w:tcPr>
            <w:tcW w:w="1428" w:type="dxa"/>
            <w:noWrap/>
            <w:hideMark/>
          </w:tcPr>
          <w:p w14:paraId="7AE0CCE9" w14:textId="4EA1B881" w:rsidR="00657A9D" w:rsidRPr="00657A9D" w:rsidRDefault="00EE0A5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19.796.789</w:t>
            </w:r>
          </w:p>
        </w:tc>
      </w:tr>
      <w:tr w:rsidR="00657A9D" w:rsidRPr="00657A9D" w14:paraId="0F97AC0D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BC6F784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10.</w:t>
            </w:r>
          </w:p>
        </w:tc>
        <w:tc>
          <w:tcPr>
            <w:tcW w:w="1770" w:type="dxa"/>
            <w:noWrap/>
            <w:hideMark/>
          </w:tcPr>
          <w:p w14:paraId="5B125453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719000</w:t>
            </w:r>
          </w:p>
        </w:tc>
        <w:tc>
          <w:tcPr>
            <w:tcW w:w="1770" w:type="dxa"/>
            <w:noWrap/>
            <w:hideMark/>
          </w:tcPr>
          <w:p w14:paraId="6939D808" w14:textId="38D21D10" w:rsidR="00657A9D" w:rsidRPr="00657A9D" w:rsidRDefault="002F383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328.083</w:t>
            </w:r>
          </w:p>
        </w:tc>
        <w:tc>
          <w:tcPr>
            <w:tcW w:w="1428" w:type="dxa"/>
            <w:noWrap/>
            <w:hideMark/>
          </w:tcPr>
          <w:p w14:paraId="6B21899D" w14:textId="40BAF03F" w:rsidR="00657A9D" w:rsidRPr="00657A9D" w:rsidRDefault="009B6B0E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45.370</w:t>
            </w:r>
          </w:p>
        </w:tc>
        <w:tc>
          <w:tcPr>
            <w:tcW w:w="1428" w:type="dxa"/>
            <w:noWrap/>
            <w:hideMark/>
          </w:tcPr>
          <w:p w14:paraId="00A93CA8" w14:textId="06CEFA73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337.925</w:t>
            </w:r>
          </w:p>
        </w:tc>
        <w:tc>
          <w:tcPr>
            <w:tcW w:w="1428" w:type="dxa"/>
            <w:noWrap/>
            <w:hideMark/>
          </w:tcPr>
          <w:p w14:paraId="7788ACCE" w14:textId="0A1CBDBE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348.401</w:t>
            </w:r>
          </w:p>
        </w:tc>
        <w:tc>
          <w:tcPr>
            <w:tcW w:w="1428" w:type="dxa"/>
            <w:noWrap/>
            <w:hideMark/>
          </w:tcPr>
          <w:p w14:paraId="515A4862" w14:textId="12BD3FDE" w:rsidR="00657A9D" w:rsidRPr="00657A9D" w:rsidRDefault="00EE0A5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E0A53">
              <w:rPr>
                <w:rFonts w:ascii="Calibri" w:hAnsi="Calibri" w:cs="Calibri"/>
                <w:color w:val="000000"/>
                <w:szCs w:val="22"/>
              </w:rPr>
              <w:t>359.898</w:t>
            </w:r>
          </w:p>
        </w:tc>
      </w:tr>
      <w:tr w:rsidR="00657A9D" w:rsidRPr="00657A9D" w14:paraId="3F51130C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48B01709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11.</w:t>
            </w:r>
          </w:p>
        </w:tc>
        <w:tc>
          <w:tcPr>
            <w:tcW w:w="1770" w:type="dxa"/>
            <w:noWrap/>
            <w:hideMark/>
          </w:tcPr>
          <w:p w14:paraId="26708378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720000</w:t>
            </w:r>
          </w:p>
        </w:tc>
        <w:tc>
          <w:tcPr>
            <w:tcW w:w="1770" w:type="dxa"/>
            <w:noWrap/>
            <w:hideMark/>
          </w:tcPr>
          <w:p w14:paraId="45706C35" w14:textId="33F8C218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2F3834">
              <w:rPr>
                <w:rFonts w:ascii="Calibri" w:hAnsi="Calibri" w:cs="Calibri"/>
                <w:b/>
                <w:bCs/>
                <w:color w:val="000000"/>
                <w:szCs w:val="22"/>
              </w:rPr>
              <w:t>6.303.661</w:t>
            </w:r>
          </w:p>
        </w:tc>
        <w:tc>
          <w:tcPr>
            <w:tcW w:w="1428" w:type="dxa"/>
            <w:noWrap/>
            <w:hideMark/>
          </w:tcPr>
          <w:p w14:paraId="04F41063" w14:textId="69BA2692" w:rsidR="00657A9D" w:rsidRPr="00657A9D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20.633.862</w:t>
            </w:r>
          </w:p>
        </w:tc>
        <w:tc>
          <w:tcPr>
            <w:tcW w:w="1428" w:type="dxa"/>
            <w:noWrap/>
            <w:hideMark/>
          </w:tcPr>
          <w:p w14:paraId="2225655B" w14:textId="0EFFE017" w:rsidR="00657A9D" w:rsidRPr="000005EE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b/>
                <w:bCs/>
                <w:color w:val="000000"/>
                <w:szCs w:val="22"/>
              </w:rPr>
              <w:t>16.792.771</w:t>
            </w:r>
          </w:p>
        </w:tc>
        <w:tc>
          <w:tcPr>
            <w:tcW w:w="1428" w:type="dxa"/>
            <w:noWrap/>
            <w:hideMark/>
          </w:tcPr>
          <w:p w14:paraId="0FAE212A" w14:textId="00680A4C" w:rsidR="00657A9D" w:rsidRPr="00657A9D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b/>
                <w:bCs/>
                <w:color w:val="000000"/>
                <w:szCs w:val="22"/>
              </w:rPr>
              <w:t>17.313.346</w:t>
            </w:r>
          </w:p>
        </w:tc>
        <w:tc>
          <w:tcPr>
            <w:tcW w:w="1428" w:type="dxa"/>
            <w:noWrap/>
            <w:hideMark/>
          </w:tcPr>
          <w:p w14:paraId="263AF837" w14:textId="7C52B5D3" w:rsidR="00657A9D" w:rsidRPr="00657A9D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b/>
                <w:bCs/>
                <w:color w:val="000000"/>
                <w:szCs w:val="22"/>
              </w:rPr>
              <w:t>17.884.687</w:t>
            </w:r>
          </w:p>
        </w:tc>
      </w:tr>
      <w:tr w:rsidR="00657A9D" w:rsidRPr="00657A9D" w14:paraId="431C5521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24548EA0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12.</w:t>
            </w:r>
          </w:p>
        </w:tc>
        <w:tc>
          <w:tcPr>
            <w:tcW w:w="1770" w:type="dxa"/>
            <w:noWrap/>
            <w:hideMark/>
          </w:tcPr>
          <w:p w14:paraId="5AF04CBE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721000</w:t>
            </w:r>
          </w:p>
        </w:tc>
        <w:tc>
          <w:tcPr>
            <w:tcW w:w="1770" w:type="dxa"/>
            <w:noWrap/>
            <w:hideMark/>
          </w:tcPr>
          <w:p w14:paraId="4FBCECD7" w14:textId="1AEACBAB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C20694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2F3834">
              <w:rPr>
                <w:rFonts w:ascii="Calibri" w:hAnsi="Calibri" w:cs="Calibri"/>
                <w:color w:val="000000"/>
                <w:szCs w:val="22"/>
              </w:rPr>
              <w:t>905.037</w:t>
            </w:r>
          </w:p>
        </w:tc>
        <w:tc>
          <w:tcPr>
            <w:tcW w:w="1428" w:type="dxa"/>
            <w:noWrap/>
            <w:hideMark/>
          </w:tcPr>
          <w:p w14:paraId="1DD6C974" w14:textId="6D4F2B7E" w:rsidR="00657A9D" w:rsidRPr="00657A9D" w:rsidRDefault="002D3B69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3.753.020</w:t>
            </w:r>
          </w:p>
        </w:tc>
        <w:tc>
          <w:tcPr>
            <w:tcW w:w="1428" w:type="dxa"/>
            <w:noWrap/>
            <w:hideMark/>
          </w:tcPr>
          <w:p w14:paraId="53FB1658" w14:textId="0AE3C5C4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2.992.188</w:t>
            </w:r>
          </w:p>
        </w:tc>
        <w:tc>
          <w:tcPr>
            <w:tcW w:w="1428" w:type="dxa"/>
            <w:noWrap/>
            <w:hideMark/>
          </w:tcPr>
          <w:p w14:paraId="62951871" w14:textId="328B2158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3.084.945</w:t>
            </w:r>
          </w:p>
        </w:tc>
        <w:tc>
          <w:tcPr>
            <w:tcW w:w="1428" w:type="dxa"/>
            <w:noWrap/>
            <w:hideMark/>
          </w:tcPr>
          <w:p w14:paraId="0CD7852A" w14:textId="4A4F4399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3.186.749</w:t>
            </w:r>
          </w:p>
        </w:tc>
      </w:tr>
      <w:tr w:rsidR="00657A9D" w:rsidRPr="00657A9D" w14:paraId="5C9C2B1A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0FAA7A9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13.</w:t>
            </w:r>
          </w:p>
        </w:tc>
        <w:tc>
          <w:tcPr>
            <w:tcW w:w="1770" w:type="dxa"/>
            <w:noWrap/>
            <w:hideMark/>
          </w:tcPr>
          <w:p w14:paraId="1AFEBB9D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722000</w:t>
            </w:r>
          </w:p>
        </w:tc>
        <w:tc>
          <w:tcPr>
            <w:tcW w:w="1770" w:type="dxa"/>
            <w:noWrap/>
            <w:hideMark/>
          </w:tcPr>
          <w:p w14:paraId="397038DF" w14:textId="40A5F708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13.</w:t>
            </w:r>
            <w:r w:rsidR="00793D80">
              <w:rPr>
                <w:rFonts w:ascii="Calibri" w:hAnsi="Calibri" w:cs="Calibri"/>
                <w:color w:val="000000"/>
                <w:szCs w:val="22"/>
              </w:rPr>
              <w:t>344.000</w:t>
            </w:r>
          </w:p>
        </w:tc>
        <w:tc>
          <w:tcPr>
            <w:tcW w:w="1428" w:type="dxa"/>
            <w:noWrap/>
            <w:hideMark/>
          </w:tcPr>
          <w:p w14:paraId="21429DC1" w14:textId="5E1F7D3D" w:rsidR="00657A9D" w:rsidRPr="00657A9D" w:rsidRDefault="009B6B0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6.840.242</w:t>
            </w:r>
          </w:p>
        </w:tc>
        <w:tc>
          <w:tcPr>
            <w:tcW w:w="1428" w:type="dxa"/>
            <w:noWrap/>
            <w:hideMark/>
          </w:tcPr>
          <w:p w14:paraId="13AAA751" w14:textId="248129C0" w:rsidR="00657A9D" w:rsidRPr="00657A9D" w:rsidRDefault="00A3319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13.744.320</w:t>
            </w:r>
          </w:p>
        </w:tc>
        <w:tc>
          <w:tcPr>
            <w:tcW w:w="1428" w:type="dxa"/>
            <w:noWrap/>
            <w:hideMark/>
          </w:tcPr>
          <w:p w14:paraId="14E19CBB" w14:textId="30A378DC" w:rsidR="00657A9D" w:rsidRPr="00657A9D" w:rsidRDefault="00A3319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14.170.39</w:t>
            </w: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428" w:type="dxa"/>
            <w:noWrap/>
            <w:hideMark/>
          </w:tcPr>
          <w:p w14:paraId="2E465E4B" w14:textId="20105228" w:rsidR="00657A9D" w:rsidRPr="00657A9D" w:rsidRDefault="00A33194" w:rsidP="00A33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</w:t>
            </w:r>
            <w:r w:rsidRPr="00A33194">
              <w:rPr>
                <w:rFonts w:ascii="Calibri" w:hAnsi="Calibri" w:cs="Calibri"/>
                <w:color w:val="000000"/>
                <w:szCs w:val="22"/>
              </w:rPr>
              <w:t>14.638.01</w:t>
            </w: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657A9D" w:rsidRPr="00657A9D" w14:paraId="57CCA110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E2E65B3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14.</w:t>
            </w:r>
          </w:p>
        </w:tc>
        <w:tc>
          <w:tcPr>
            <w:tcW w:w="1770" w:type="dxa"/>
            <w:noWrap/>
            <w:hideMark/>
          </w:tcPr>
          <w:p w14:paraId="05007B64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723000</w:t>
            </w:r>
          </w:p>
        </w:tc>
        <w:tc>
          <w:tcPr>
            <w:tcW w:w="1770" w:type="dxa"/>
            <w:noWrap/>
            <w:hideMark/>
          </w:tcPr>
          <w:p w14:paraId="7E8A6C70" w14:textId="2FEA8103" w:rsidR="00657A9D" w:rsidRPr="00657A9D" w:rsidRDefault="00793D80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54.624</w:t>
            </w:r>
          </w:p>
        </w:tc>
        <w:tc>
          <w:tcPr>
            <w:tcW w:w="1428" w:type="dxa"/>
            <w:noWrap/>
            <w:hideMark/>
          </w:tcPr>
          <w:p w14:paraId="1F6EFEF9" w14:textId="10777DEF" w:rsidR="00657A9D" w:rsidRPr="00657A9D" w:rsidRDefault="002D3B69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40.600</w:t>
            </w:r>
          </w:p>
        </w:tc>
        <w:tc>
          <w:tcPr>
            <w:tcW w:w="1428" w:type="dxa"/>
            <w:noWrap/>
            <w:hideMark/>
          </w:tcPr>
          <w:p w14:paraId="00385AB9" w14:textId="4C52D12D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56.26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428" w:type="dxa"/>
            <w:noWrap/>
            <w:hideMark/>
          </w:tcPr>
          <w:p w14:paraId="0CFD0A88" w14:textId="727AC661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58.00</w:t>
            </w: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428" w:type="dxa"/>
            <w:noWrap/>
            <w:hideMark/>
          </w:tcPr>
          <w:p w14:paraId="6289B409" w14:textId="7649995A" w:rsidR="00657A9D" w:rsidRPr="00657A9D" w:rsidRDefault="00A33194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3194">
              <w:rPr>
                <w:rFonts w:ascii="Calibri" w:hAnsi="Calibri" w:cs="Calibri"/>
                <w:color w:val="000000"/>
                <w:szCs w:val="22"/>
              </w:rPr>
              <w:t>59.921</w:t>
            </w:r>
          </w:p>
        </w:tc>
      </w:tr>
      <w:tr w:rsidR="00657A9D" w:rsidRPr="00657A9D" w14:paraId="4B0352A6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04BD1A1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15.</w:t>
            </w:r>
          </w:p>
        </w:tc>
        <w:tc>
          <w:tcPr>
            <w:tcW w:w="1770" w:type="dxa"/>
            <w:noWrap/>
            <w:hideMark/>
          </w:tcPr>
          <w:p w14:paraId="57B60021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730000</w:t>
            </w:r>
          </w:p>
        </w:tc>
        <w:tc>
          <w:tcPr>
            <w:tcW w:w="1770" w:type="dxa"/>
            <w:noWrap/>
            <w:hideMark/>
          </w:tcPr>
          <w:p w14:paraId="7C2FC861" w14:textId="22B2B4D2" w:rsidR="00657A9D" w:rsidRPr="00657A9D" w:rsidRDefault="00945BA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8.020.548</w:t>
            </w:r>
          </w:p>
        </w:tc>
        <w:tc>
          <w:tcPr>
            <w:tcW w:w="1428" w:type="dxa"/>
            <w:noWrap/>
            <w:hideMark/>
          </w:tcPr>
          <w:p w14:paraId="50271BA3" w14:textId="76DD97A5" w:rsidR="00657A9D" w:rsidRPr="00657A9D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  <w:r w:rsidR="00B73649">
              <w:rPr>
                <w:rFonts w:ascii="Calibri" w:hAnsi="Calibri" w:cs="Calibri"/>
                <w:b/>
                <w:bCs/>
                <w:color w:val="000000"/>
                <w:szCs w:val="22"/>
              </w:rPr>
              <w:t>815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.690</w:t>
            </w:r>
          </w:p>
        </w:tc>
        <w:tc>
          <w:tcPr>
            <w:tcW w:w="1428" w:type="dxa"/>
            <w:noWrap/>
            <w:hideMark/>
          </w:tcPr>
          <w:p w14:paraId="075C135C" w14:textId="280612B6" w:rsidR="00657A9D" w:rsidRPr="008F5728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8.261.165</w:t>
            </w:r>
          </w:p>
        </w:tc>
        <w:tc>
          <w:tcPr>
            <w:tcW w:w="1428" w:type="dxa"/>
            <w:noWrap/>
            <w:hideMark/>
          </w:tcPr>
          <w:p w14:paraId="725F6D69" w14:textId="7AE27B0C" w:rsidR="00657A9D" w:rsidRPr="00657A9D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8.517.261</w:t>
            </w:r>
          </w:p>
        </w:tc>
        <w:tc>
          <w:tcPr>
            <w:tcW w:w="1428" w:type="dxa"/>
            <w:noWrap/>
            <w:hideMark/>
          </w:tcPr>
          <w:p w14:paraId="51F54FCD" w14:textId="135CB056" w:rsidR="00657A9D" w:rsidRPr="00657A9D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8.798.331</w:t>
            </w:r>
          </w:p>
        </w:tc>
      </w:tr>
      <w:tr w:rsidR="00657A9D" w:rsidRPr="00657A9D" w14:paraId="16FF83B3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598688B7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16.</w:t>
            </w:r>
          </w:p>
        </w:tc>
        <w:tc>
          <w:tcPr>
            <w:tcW w:w="1770" w:type="dxa"/>
            <w:noWrap/>
            <w:hideMark/>
          </w:tcPr>
          <w:p w14:paraId="1937A93A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731000</w:t>
            </w:r>
          </w:p>
        </w:tc>
        <w:tc>
          <w:tcPr>
            <w:tcW w:w="1770" w:type="dxa"/>
            <w:noWrap/>
            <w:hideMark/>
          </w:tcPr>
          <w:p w14:paraId="0763DA42" w14:textId="0F56F688" w:rsidR="00657A9D" w:rsidRPr="00657A9D" w:rsidRDefault="0035027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</w:t>
            </w:r>
            <w:r w:rsidR="00793D80">
              <w:rPr>
                <w:rFonts w:ascii="Calibri" w:hAnsi="Calibri" w:cs="Calibri"/>
                <w:color w:val="000000"/>
                <w:szCs w:val="22"/>
              </w:rPr>
              <w:t>578.576</w:t>
            </w:r>
          </w:p>
        </w:tc>
        <w:tc>
          <w:tcPr>
            <w:tcW w:w="1428" w:type="dxa"/>
            <w:noWrap/>
            <w:hideMark/>
          </w:tcPr>
          <w:p w14:paraId="1CB8D4B2" w14:textId="4A79C8BD" w:rsidR="00657A9D" w:rsidRPr="00657A9D" w:rsidRDefault="002D3B69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3.071.390</w:t>
            </w:r>
          </w:p>
        </w:tc>
        <w:tc>
          <w:tcPr>
            <w:tcW w:w="1428" w:type="dxa"/>
            <w:noWrap/>
            <w:hideMark/>
          </w:tcPr>
          <w:p w14:paraId="79C46569" w14:textId="3B6BAD6F" w:rsidR="00657A9D" w:rsidRPr="00657A9D" w:rsidRDefault="0085222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595.933</w:t>
            </w:r>
          </w:p>
        </w:tc>
        <w:tc>
          <w:tcPr>
            <w:tcW w:w="1428" w:type="dxa"/>
            <w:noWrap/>
            <w:hideMark/>
          </w:tcPr>
          <w:p w14:paraId="7E73688C" w14:textId="4D1B99B0" w:rsidR="00657A9D" w:rsidRPr="00657A9D" w:rsidRDefault="0085222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614.407</w:t>
            </w:r>
          </w:p>
        </w:tc>
        <w:tc>
          <w:tcPr>
            <w:tcW w:w="1428" w:type="dxa"/>
            <w:noWrap/>
            <w:hideMark/>
          </w:tcPr>
          <w:p w14:paraId="2C7EC95B" w14:textId="1DC19FEC" w:rsidR="00657A9D" w:rsidRPr="00657A9D" w:rsidRDefault="0085222F" w:rsidP="00BB7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     </w:t>
            </w:r>
            <w:r w:rsidR="00BB7BA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85222F">
              <w:rPr>
                <w:rFonts w:ascii="Calibri" w:hAnsi="Calibri" w:cs="Calibri"/>
                <w:color w:val="000000"/>
                <w:szCs w:val="22"/>
              </w:rPr>
              <w:t>634.68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  <w:r w:rsidR="00BB7BA1">
              <w:rPr>
                <w:rFonts w:ascii="Calibri" w:hAnsi="Calibri" w:cs="Calibri"/>
                <w:color w:val="000000"/>
                <w:szCs w:val="22"/>
              </w:rPr>
              <w:t xml:space="preserve">       </w:t>
            </w:r>
          </w:p>
        </w:tc>
      </w:tr>
      <w:tr w:rsidR="00657A9D" w:rsidRPr="00657A9D" w14:paraId="46011138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36C231F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17.</w:t>
            </w:r>
          </w:p>
        </w:tc>
        <w:tc>
          <w:tcPr>
            <w:tcW w:w="1770" w:type="dxa"/>
            <w:noWrap/>
            <w:hideMark/>
          </w:tcPr>
          <w:p w14:paraId="468C45D6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732000</w:t>
            </w:r>
          </w:p>
        </w:tc>
        <w:tc>
          <w:tcPr>
            <w:tcW w:w="1770" w:type="dxa"/>
            <w:noWrap/>
            <w:hideMark/>
          </w:tcPr>
          <w:p w14:paraId="0E5FF9F6" w14:textId="5A476F59" w:rsidR="00B63A8E" w:rsidRPr="00657A9D" w:rsidRDefault="00793D80" w:rsidP="00B63A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7.432.586</w:t>
            </w:r>
          </w:p>
        </w:tc>
        <w:tc>
          <w:tcPr>
            <w:tcW w:w="1428" w:type="dxa"/>
            <w:noWrap/>
            <w:hideMark/>
          </w:tcPr>
          <w:p w14:paraId="13051655" w14:textId="18E06A42" w:rsidR="00657A9D" w:rsidRPr="00657A9D" w:rsidRDefault="005C04A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706.300</w:t>
            </w:r>
          </w:p>
        </w:tc>
        <w:tc>
          <w:tcPr>
            <w:tcW w:w="1428" w:type="dxa"/>
            <w:noWrap/>
            <w:hideMark/>
          </w:tcPr>
          <w:p w14:paraId="453664B0" w14:textId="56E76F4B" w:rsidR="00657A9D" w:rsidRPr="00657A9D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7.655.56</w:t>
            </w: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428" w:type="dxa"/>
            <w:noWrap/>
            <w:hideMark/>
          </w:tcPr>
          <w:p w14:paraId="52C19B6A" w14:textId="77DE8A8C" w:rsidR="00657A9D" w:rsidRPr="00657A9D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7.892.886</w:t>
            </w:r>
          </w:p>
        </w:tc>
        <w:tc>
          <w:tcPr>
            <w:tcW w:w="1428" w:type="dxa"/>
            <w:noWrap/>
            <w:hideMark/>
          </w:tcPr>
          <w:p w14:paraId="6874056D" w14:textId="489C978B" w:rsidR="00657A9D" w:rsidRPr="00657A9D" w:rsidRDefault="0085222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8.153.351</w:t>
            </w:r>
          </w:p>
        </w:tc>
      </w:tr>
      <w:tr w:rsidR="00657A9D" w:rsidRPr="00657A9D" w14:paraId="5895AD98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1FE7D64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18.</w:t>
            </w:r>
          </w:p>
        </w:tc>
        <w:tc>
          <w:tcPr>
            <w:tcW w:w="1770" w:type="dxa"/>
            <w:noWrap/>
            <w:hideMark/>
          </w:tcPr>
          <w:p w14:paraId="0B1D3C53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733000</w:t>
            </w:r>
          </w:p>
        </w:tc>
        <w:tc>
          <w:tcPr>
            <w:tcW w:w="1770" w:type="dxa"/>
            <w:noWrap/>
            <w:hideMark/>
          </w:tcPr>
          <w:p w14:paraId="7B9FEB34" w14:textId="227F32C6" w:rsidR="00657A9D" w:rsidRPr="00657A9D" w:rsidRDefault="00793D80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9.386</w:t>
            </w:r>
          </w:p>
        </w:tc>
        <w:tc>
          <w:tcPr>
            <w:tcW w:w="1428" w:type="dxa"/>
            <w:noWrap/>
            <w:hideMark/>
          </w:tcPr>
          <w:p w14:paraId="410F2CCA" w14:textId="6AEED93E" w:rsidR="00657A9D" w:rsidRPr="00657A9D" w:rsidRDefault="009B6B0E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2D3B69">
              <w:rPr>
                <w:rFonts w:ascii="Calibri" w:hAnsi="Calibri" w:cs="Calibri"/>
                <w:color w:val="000000"/>
                <w:szCs w:val="22"/>
              </w:rPr>
              <w:t>000</w:t>
            </w:r>
          </w:p>
        </w:tc>
        <w:tc>
          <w:tcPr>
            <w:tcW w:w="1428" w:type="dxa"/>
            <w:noWrap/>
            <w:hideMark/>
          </w:tcPr>
          <w:p w14:paraId="7E3627CE" w14:textId="23A28D47" w:rsidR="00657A9D" w:rsidRPr="00657A9D" w:rsidRDefault="0085222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9.66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7EA215A6" w14:textId="28430583" w:rsidR="00657A9D" w:rsidRPr="00657A9D" w:rsidRDefault="0085222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9.96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2B257F69" w14:textId="4F629246" w:rsidR="00657A9D" w:rsidRPr="00657A9D" w:rsidRDefault="0085222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85222F">
              <w:rPr>
                <w:rFonts w:ascii="Calibri" w:hAnsi="Calibri" w:cs="Calibri"/>
                <w:color w:val="000000"/>
                <w:szCs w:val="22"/>
              </w:rPr>
              <w:t>10.29</w:t>
            </w: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657A9D" w:rsidRPr="00657A9D" w14:paraId="2476293A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ECC2C5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20.</w:t>
            </w:r>
          </w:p>
        </w:tc>
        <w:tc>
          <w:tcPr>
            <w:tcW w:w="1770" w:type="dxa"/>
            <w:noWrap/>
            <w:hideMark/>
          </w:tcPr>
          <w:p w14:paraId="19CE3444" w14:textId="5A96488B" w:rsidR="00657A9D" w:rsidRPr="00FD7FC4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="00173891"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>42000</w:t>
            </w:r>
          </w:p>
        </w:tc>
        <w:tc>
          <w:tcPr>
            <w:tcW w:w="1770" w:type="dxa"/>
            <w:noWrap/>
            <w:hideMark/>
          </w:tcPr>
          <w:p w14:paraId="7E785DDC" w14:textId="3833AC6C" w:rsidR="00657A9D" w:rsidRPr="00FD7FC4" w:rsidRDefault="00793D80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  <w:r w:rsidR="003B2FA3"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>575.62</w:t>
            </w:r>
            <w:r w:rsidR="00F87117"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</w:p>
          <w:p w14:paraId="16B7D7B1" w14:textId="07838F9E" w:rsidR="00555C80" w:rsidRPr="00FD7FC4" w:rsidRDefault="00555C80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28" w:type="dxa"/>
            <w:noWrap/>
            <w:hideMark/>
          </w:tcPr>
          <w:p w14:paraId="25DA639D" w14:textId="5A70920C" w:rsidR="00657A9D" w:rsidRPr="00FD7FC4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11.480.850</w:t>
            </w:r>
          </w:p>
        </w:tc>
        <w:tc>
          <w:tcPr>
            <w:tcW w:w="1428" w:type="dxa"/>
            <w:noWrap/>
            <w:hideMark/>
          </w:tcPr>
          <w:p w14:paraId="462C4E5C" w14:textId="3149D543" w:rsidR="00657A9D" w:rsidRPr="00FD7FC4" w:rsidRDefault="00364D7F" w:rsidP="008F5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D7FC4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  </w:t>
            </w:r>
            <w:r w:rsidR="00240877"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4.712.89</w:t>
            </w:r>
            <w:r w:rsid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28" w:type="dxa"/>
            <w:noWrap/>
            <w:hideMark/>
          </w:tcPr>
          <w:p w14:paraId="2CC6EE79" w14:textId="75204F76" w:rsidR="00657A9D" w:rsidRPr="00FD7FC4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4.858.99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28" w:type="dxa"/>
            <w:noWrap/>
            <w:hideMark/>
          </w:tcPr>
          <w:p w14:paraId="66B763A2" w14:textId="653DA23E" w:rsidR="00657A9D" w:rsidRPr="00FD7FC4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5.019.341</w:t>
            </w:r>
          </w:p>
        </w:tc>
      </w:tr>
      <w:tr w:rsidR="00173891" w:rsidRPr="00657A9D" w14:paraId="6667DC8C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</w:tcPr>
          <w:p w14:paraId="5C3D5D11" w14:textId="51A7B01F" w:rsidR="00173891" w:rsidRPr="00657A9D" w:rsidRDefault="00173891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21.</w:t>
            </w:r>
          </w:p>
        </w:tc>
        <w:tc>
          <w:tcPr>
            <w:tcW w:w="1770" w:type="dxa"/>
            <w:noWrap/>
          </w:tcPr>
          <w:p w14:paraId="39282D84" w14:textId="66FBC0E1" w:rsidR="00173891" w:rsidRPr="00657A9D" w:rsidRDefault="0017389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777000</w:t>
            </w:r>
          </w:p>
        </w:tc>
        <w:tc>
          <w:tcPr>
            <w:tcW w:w="1770" w:type="dxa"/>
            <w:noWrap/>
          </w:tcPr>
          <w:p w14:paraId="556700B6" w14:textId="632366A1" w:rsidR="00173891" w:rsidRDefault="0017389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</w:tcPr>
          <w:p w14:paraId="6B932533" w14:textId="68451FFA" w:rsidR="00173891" w:rsidRPr="00657A9D" w:rsidRDefault="00F52858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</w:tcPr>
          <w:p w14:paraId="070702A0" w14:textId="6908DB36" w:rsidR="00173891" w:rsidRPr="00657A9D" w:rsidRDefault="0017389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</w:tcPr>
          <w:p w14:paraId="32FC7996" w14:textId="13CE9BBC" w:rsidR="00173891" w:rsidRPr="00657A9D" w:rsidRDefault="0017389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</w:tcPr>
          <w:p w14:paraId="1AD13195" w14:textId="78392B19" w:rsidR="00173891" w:rsidRPr="00657A9D" w:rsidRDefault="0017389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</w:tr>
      <w:tr w:rsidR="00657A9D" w:rsidRPr="00657A9D" w14:paraId="70C00F6E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41854B5" w14:textId="424F5095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14769E44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810000</w:t>
            </w:r>
          </w:p>
        </w:tc>
        <w:tc>
          <w:tcPr>
            <w:tcW w:w="1770" w:type="dxa"/>
            <w:noWrap/>
            <w:hideMark/>
          </w:tcPr>
          <w:p w14:paraId="25A24982" w14:textId="0139D2A0" w:rsidR="00657A9D" w:rsidRPr="00657A9D" w:rsidRDefault="00D9274C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  <w:r w:rsidR="00793D80">
              <w:rPr>
                <w:rFonts w:ascii="Calibri" w:hAnsi="Calibri" w:cs="Calibri"/>
                <w:b/>
                <w:bCs/>
                <w:color w:val="000000"/>
                <w:szCs w:val="22"/>
              </w:rPr>
              <w:t>422.742</w:t>
            </w:r>
          </w:p>
        </w:tc>
        <w:tc>
          <w:tcPr>
            <w:tcW w:w="1428" w:type="dxa"/>
            <w:noWrap/>
            <w:hideMark/>
          </w:tcPr>
          <w:p w14:paraId="5DEAB98C" w14:textId="674F9A5E" w:rsidR="00657A9D" w:rsidRPr="00657A9D" w:rsidRDefault="002D3B69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3.360.000</w:t>
            </w:r>
          </w:p>
        </w:tc>
        <w:tc>
          <w:tcPr>
            <w:tcW w:w="1428" w:type="dxa"/>
            <w:noWrap/>
            <w:hideMark/>
          </w:tcPr>
          <w:p w14:paraId="10DD07FA" w14:textId="07CF5197" w:rsidR="00657A9D" w:rsidRPr="00657A9D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2.495.424</w:t>
            </w:r>
          </w:p>
        </w:tc>
        <w:tc>
          <w:tcPr>
            <w:tcW w:w="1428" w:type="dxa"/>
            <w:noWrap/>
            <w:hideMark/>
          </w:tcPr>
          <w:p w14:paraId="0A87CCAD" w14:textId="44A12DF9" w:rsidR="00657A9D" w:rsidRPr="00657A9D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2.572.782</w:t>
            </w:r>
          </w:p>
        </w:tc>
        <w:tc>
          <w:tcPr>
            <w:tcW w:w="1428" w:type="dxa"/>
            <w:noWrap/>
            <w:hideMark/>
          </w:tcPr>
          <w:p w14:paraId="16C3CDEF" w14:textId="28474B96" w:rsidR="00657A9D" w:rsidRPr="00657A9D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2.657.684</w:t>
            </w:r>
          </w:p>
        </w:tc>
      </w:tr>
      <w:tr w:rsidR="00657A9D" w:rsidRPr="00657A9D" w14:paraId="3F184513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31CE55A" w14:textId="000E0CF9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569760DF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814000</w:t>
            </w:r>
          </w:p>
        </w:tc>
        <w:tc>
          <w:tcPr>
            <w:tcW w:w="1770" w:type="dxa"/>
            <w:noWrap/>
            <w:hideMark/>
          </w:tcPr>
          <w:p w14:paraId="086C272D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3827ACDC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651F40A6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7AFFFA24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492C2F1D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657A9D" w:rsidRPr="00657A9D" w14:paraId="73C6AE7A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211EC611" w14:textId="47FE967F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4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34A13DB0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Nerasp</w:t>
            </w:r>
            <w:proofErr w:type="spellEnd"/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. </w:t>
            </w:r>
            <w:r w:rsidR="00BF6375"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V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išak</w:t>
            </w:r>
          </w:p>
        </w:tc>
        <w:tc>
          <w:tcPr>
            <w:tcW w:w="1770" w:type="dxa"/>
            <w:noWrap/>
            <w:hideMark/>
          </w:tcPr>
          <w:p w14:paraId="28C855AA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288B3499" w14:textId="17FBD638" w:rsidR="00657A9D" w:rsidRPr="00657A9D" w:rsidRDefault="001B58D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1.961.117</w:t>
            </w:r>
          </w:p>
        </w:tc>
        <w:tc>
          <w:tcPr>
            <w:tcW w:w="1428" w:type="dxa"/>
            <w:noWrap/>
            <w:hideMark/>
          </w:tcPr>
          <w:p w14:paraId="7F6DA340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2C1CCE01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6817CAA9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657A9D" w:rsidRPr="00657A9D" w14:paraId="119689F4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28206C8B" w14:textId="16225341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EF0CB76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RASH.I IZD.</w:t>
            </w:r>
          </w:p>
        </w:tc>
        <w:tc>
          <w:tcPr>
            <w:tcW w:w="1770" w:type="dxa"/>
            <w:noWrap/>
            <w:hideMark/>
          </w:tcPr>
          <w:p w14:paraId="76BA6C31" w14:textId="1A0EECFC" w:rsidR="00657A9D" w:rsidRPr="00657A9D" w:rsidRDefault="006656DB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57.351.487</w:t>
            </w:r>
          </w:p>
        </w:tc>
        <w:tc>
          <w:tcPr>
            <w:tcW w:w="1428" w:type="dxa"/>
            <w:noWrap/>
            <w:hideMark/>
          </w:tcPr>
          <w:p w14:paraId="68D59D97" w14:textId="0E589C86" w:rsidR="00657A9D" w:rsidRPr="00657A9D" w:rsidRDefault="001B58D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76.949.070</w:t>
            </w:r>
          </w:p>
        </w:tc>
        <w:tc>
          <w:tcPr>
            <w:tcW w:w="1428" w:type="dxa"/>
            <w:noWrap/>
            <w:hideMark/>
          </w:tcPr>
          <w:p w14:paraId="660BAB8E" w14:textId="0AA80E14" w:rsidR="00657A9D" w:rsidRPr="00657A9D" w:rsidRDefault="002169E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169EA">
              <w:rPr>
                <w:rFonts w:ascii="Calibri" w:hAnsi="Calibri" w:cs="Calibri"/>
                <w:b/>
                <w:bCs/>
                <w:color w:val="000000"/>
                <w:szCs w:val="22"/>
              </w:rPr>
              <w:t>59.072.031</w:t>
            </w:r>
          </w:p>
        </w:tc>
        <w:tc>
          <w:tcPr>
            <w:tcW w:w="1428" w:type="dxa"/>
            <w:noWrap/>
            <w:hideMark/>
          </w:tcPr>
          <w:p w14:paraId="68C15088" w14:textId="1F77E58F" w:rsidR="00657A9D" w:rsidRPr="00657A9D" w:rsidRDefault="002169E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169EA">
              <w:rPr>
                <w:rFonts w:ascii="Calibri" w:hAnsi="Calibri" w:cs="Calibri"/>
                <w:b/>
                <w:bCs/>
                <w:color w:val="000000"/>
                <w:szCs w:val="22"/>
              </w:rPr>
              <w:t>60.903.264</w:t>
            </w:r>
          </w:p>
        </w:tc>
        <w:tc>
          <w:tcPr>
            <w:tcW w:w="1428" w:type="dxa"/>
            <w:noWrap/>
            <w:hideMark/>
          </w:tcPr>
          <w:p w14:paraId="5B3B6B77" w14:textId="347EEE16" w:rsidR="00657A9D" w:rsidRPr="00657A9D" w:rsidRDefault="002169E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169EA">
              <w:rPr>
                <w:rFonts w:ascii="Calibri" w:hAnsi="Calibri" w:cs="Calibri"/>
                <w:b/>
                <w:bCs/>
                <w:color w:val="000000"/>
                <w:szCs w:val="22"/>
              </w:rPr>
              <w:t>62.913.072</w:t>
            </w:r>
          </w:p>
        </w:tc>
      </w:tr>
      <w:tr w:rsidR="00657A9D" w:rsidRPr="00657A9D" w14:paraId="6286C63B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57370153" w14:textId="6EB59F50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43AA304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600001</w:t>
            </w:r>
          </w:p>
        </w:tc>
        <w:tc>
          <w:tcPr>
            <w:tcW w:w="1770" w:type="dxa"/>
            <w:noWrap/>
            <w:hideMark/>
          </w:tcPr>
          <w:p w14:paraId="088CD6CE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1E19442D" w14:textId="3F9DFBE5" w:rsidR="00657A9D" w:rsidRPr="00657A9D" w:rsidRDefault="00283D18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  <w:r w:rsid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55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.000</w:t>
            </w:r>
          </w:p>
        </w:tc>
        <w:tc>
          <w:tcPr>
            <w:tcW w:w="1428" w:type="dxa"/>
            <w:noWrap/>
            <w:hideMark/>
          </w:tcPr>
          <w:p w14:paraId="4A5933AF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28" w:type="dxa"/>
            <w:noWrap/>
            <w:hideMark/>
          </w:tcPr>
          <w:p w14:paraId="5B20A966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428" w:type="dxa"/>
            <w:noWrap/>
            <w:hideMark/>
          </w:tcPr>
          <w:p w14:paraId="0F0F8C51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657A9D" w:rsidRPr="00657A9D" w14:paraId="44A2C78B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676FB839" w14:textId="4D84B923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43FB4709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610000</w:t>
            </w:r>
          </w:p>
        </w:tc>
        <w:tc>
          <w:tcPr>
            <w:tcW w:w="1770" w:type="dxa"/>
            <w:noWrap/>
            <w:hideMark/>
          </w:tcPr>
          <w:p w14:paraId="19E1066E" w14:textId="6D989717" w:rsidR="00657A9D" w:rsidRPr="00657A9D" w:rsidRDefault="00C05A7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42.160.417</w:t>
            </w:r>
          </w:p>
        </w:tc>
        <w:tc>
          <w:tcPr>
            <w:tcW w:w="1428" w:type="dxa"/>
            <w:noWrap/>
            <w:hideMark/>
          </w:tcPr>
          <w:p w14:paraId="68C05B7D" w14:textId="5216856C" w:rsidR="00657A9D" w:rsidRPr="00657A9D" w:rsidRDefault="00D9016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 w:rsidRPr="00D90162"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49.965.470</w:t>
            </w:r>
          </w:p>
        </w:tc>
        <w:tc>
          <w:tcPr>
            <w:tcW w:w="1428" w:type="dxa"/>
            <w:noWrap/>
            <w:hideMark/>
          </w:tcPr>
          <w:p w14:paraId="3682A6B9" w14:textId="4944333E" w:rsidR="00657A9D" w:rsidRPr="00657A9D" w:rsidRDefault="00D9016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90162">
              <w:rPr>
                <w:rFonts w:ascii="Calibri" w:hAnsi="Calibri" w:cs="Calibri"/>
                <w:b/>
                <w:bCs/>
                <w:color w:val="000000"/>
                <w:szCs w:val="22"/>
              </w:rPr>
              <w:t>43.425.229</w:t>
            </w:r>
          </w:p>
        </w:tc>
        <w:tc>
          <w:tcPr>
            <w:tcW w:w="1428" w:type="dxa"/>
            <w:noWrap/>
            <w:hideMark/>
          </w:tcPr>
          <w:p w14:paraId="4D42D8A7" w14:textId="3B84400C" w:rsidR="00657A9D" w:rsidRPr="00657A9D" w:rsidRDefault="00D9016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90162">
              <w:rPr>
                <w:rFonts w:ascii="Calibri" w:hAnsi="Calibri" w:cs="Calibri"/>
                <w:b/>
                <w:bCs/>
                <w:color w:val="000000"/>
                <w:szCs w:val="22"/>
              </w:rPr>
              <w:t>44.771.411</w:t>
            </w:r>
          </w:p>
        </w:tc>
        <w:tc>
          <w:tcPr>
            <w:tcW w:w="1428" w:type="dxa"/>
            <w:noWrap/>
            <w:hideMark/>
          </w:tcPr>
          <w:p w14:paraId="187E6985" w14:textId="19E346D2" w:rsidR="00657A9D" w:rsidRPr="00657A9D" w:rsidRDefault="00D9016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D90162">
              <w:rPr>
                <w:rFonts w:ascii="Calibri" w:hAnsi="Calibri" w:cs="Calibri"/>
                <w:b/>
                <w:bCs/>
                <w:color w:val="000000"/>
                <w:szCs w:val="22"/>
              </w:rPr>
              <w:t>46.248.86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</w:p>
        </w:tc>
      </w:tr>
      <w:tr w:rsidR="00657A9D" w:rsidRPr="00657A9D" w14:paraId="229D9AAE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3CDEA20" w14:textId="0390156C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D9BA42A" w14:textId="77777777" w:rsidR="00657A9D" w:rsidRPr="001B58D1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611000</w:t>
            </w:r>
          </w:p>
        </w:tc>
        <w:tc>
          <w:tcPr>
            <w:tcW w:w="1770" w:type="dxa"/>
            <w:noWrap/>
            <w:hideMark/>
          </w:tcPr>
          <w:p w14:paraId="56F5D797" w14:textId="00D67CF9" w:rsidR="00AE6AEF" w:rsidRPr="001B58D1" w:rsidRDefault="00D0465C" w:rsidP="00AE6A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16.420.050</w:t>
            </w:r>
          </w:p>
        </w:tc>
        <w:tc>
          <w:tcPr>
            <w:tcW w:w="1428" w:type="dxa"/>
            <w:noWrap/>
            <w:hideMark/>
          </w:tcPr>
          <w:p w14:paraId="305CB145" w14:textId="07B3CF52" w:rsidR="00657A9D" w:rsidRPr="001B58D1" w:rsidRDefault="00FE26F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9.416.093</w:t>
            </w:r>
          </w:p>
        </w:tc>
        <w:tc>
          <w:tcPr>
            <w:tcW w:w="1428" w:type="dxa"/>
            <w:noWrap/>
            <w:hideMark/>
          </w:tcPr>
          <w:p w14:paraId="6F096FBE" w14:textId="0EC2B092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16.912.65</w:t>
            </w:r>
            <w:r w:rsidR="00141CFD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28" w:type="dxa"/>
            <w:noWrap/>
            <w:hideMark/>
          </w:tcPr>
          <w:p w14:paraId="5810B765" w14:textId="23A53F49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17.436.943</w:t>
            </w:r>
          </w:p>
        </w:tc>
        <w:tc>
          <w:tcPr>
            <w:tcW w:w="1428" w:type="dxa"/>
            <w:noWrap/>
            <w:hideMark/>
          </w:tcPr>
          <w:p w14:paraId="145882C6" w14:textId="0B20D8B7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18.012.363</w:t>
            </w:r>
          </w:p>
        </w:tc>
      </w:tr>
      <w:tr w:rsidR="00657A9D" w:rsidRPr="00657A9D" w14:paraId="37EB4165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343DA42" w14:textId="15076C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2D18CFAC" w14:textId="77777777" w:rsidR="00657A9D" w:rsidRPr="00CA128C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611100</w:t>
            </w:r>
          </w:p>
        </w:tc>
        <w:tc>
          <w:tcPr>
            <w:tcW w:w="1770" w:type="dxa"/>
            <w:noWrap/>
            <w:hideMark/>
          </w:tcPr>
          <w:p w14:paraId="2BE3CE14" w14:textId="4583CABC" w:rsidR="00657A9D" w:rsidRPr="00CA128C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AE6AEF" w:rsidRPr="00CA128C">
              <w:rPr>
                <w:rFonts w:ascii="Calibri" w:hAnsi="Calibri" w:cs="Calibri"/>
                <w:color w:val="000000"/>
                <w:szCs w:val="22"/>
              </w:rPr>
              <w:t>2.947.885</w:t>
            </w:r>
          </w:p>
        </w:tc>
        <w:tc>
          <w:tcPr>
            <w:tcW w:w="1428" w:type="dxa"/>
            <w:noWrap/>
            <w:hideMark/>
          </w:tcPr>
          <w:p w14:paraId="5D65B1E0" w14:textId="6EE95BE5" w:rsidR="00657A9D" w:rsidRPr="00CA128C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0A5845">
              <w:rPr>
                <w:rFonts w:ascii="Calibri" w:hAnsi="Calibri" w:cs="Calibri"/>
                <w:color w:val="000000"/>
                <w:szCs w:val="22"/>
              </w:rPr>
              <w:t>5.539.427</w:t>
            </w:r>
          </w:p>
        </w:tc>
        <w:tc>
          <w:tcPr>
            <w:tcW w:w="1428" w:type="dxa"/>
            <w:noWrap/>
            <w:hideMark/>
          </w:tcPr>
          <w:p w14:paraId="2165CBB3" w14:textId="66EDAADA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13.336.32</w:t>
            </w: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428" w:type="dxa"/>
            <w:noWrap/>
            <w:hideMark/>
          </w:tcPr>
          <w:p w14:paraId="59444607" w14:textId="39D03AAE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13.749.74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2B3F56A2" w14:textId="4F8C1588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14.203.489</w:t>
            </w:r>
          </w:p>
        </w:tc>
      </w:tr>
      <w:tr w:rsidR="00657A9D" w:rsidRPr="00657A9D" w14:paraId="559CAECA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5738908A" w14:textId="659E40D0" w:rsidR="00657A9D" w:rsidRPr="00657A9D" w:rsidRDefault="00173891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30</w:t>
            </w:r>
            <w:r w:rsidR="00657A9D"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300DD799" w14:textId="77777777" w:rsidR="00657A9D" w:rsidRPr="00CA128C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611200</w:t>
            </w:r>
          </w:p>
        </w:tc>
        <w:tc>
          <w:tcPr>
            <w:tcW w:w="1770" w:type="dxa"/>
            <w:noWrap/>
            <w:hideMark/>
          </w:tcPr>
          <w:p w14:paraId="1E14DDC7" w14:textId="609B07E8" w:rsidR="00657A9D" w:rsidRPr="00CA128C" w:rsidRDefault="00624F4E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AE6AEF" w:rsidRPr="00CA128C">
              <w:rPr>
                <w:rFonts w:ascii="Calibri" w:hAnsi="Calibri" w:cs="Calibri"/>
                <w:color w:val="000000"/>
                <w:szCs w:val="22"/>
              </w:rPr>
              <w:t>433.666</w:t>
            </w:r>
          </w:p>
        </w:tc>
        <w:tc>
          <w:tcPr>
            <w:tcW w:w="1428" w:type="dxa"/>
            <w:noWrap/>
            <w:hideMark/>
          </w:tcPr>
          <w:p w14:paraId="218CE2ED" w14:textId="2851F80C" w:rsidR="00657A9D" w:rsidRPr="00CA128C" w:rsidRDefault="00C93AE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0A5845">
              <w:rPr>
                <w:rFonts w:ascii="Calibri" w:hAnsi="Calibri" w:cs="Calibri"/>
                <w:color w:val="000000"/>
                <w:szCs w:val="22"/>
              </w:rPr>
              <w:t>967.866</w:t>
            </w:r>
          </w:p>
        </w:tc>
        <w:tc>
          <w:tcPr>
            <w:tcW w:w="1428" w:type="dxa"/>
            <w:noWrap/>
            <w:hideMark/>
          </w:tcPr>
          <w:p w14:paraId="34EA6A73" w14:textId="114F613D" w:rsidR="00657A9D" w:rsidRPr="00CA128C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2.506.67</w:t>
            </w: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428" w:type="dxa"/>
            <w:noWrap/>
            <w:hideMark/>
          </w:tcPr>
          <w:p w14:paraId="20029B24" w14:textId="067AB487" w:rsidR="00657A9D" w:rsidRPr="00CA128C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2.584.382</w:t>
            </w:r>
          </w:p>
        </w:tc>
        <w:tc>
          <w:tcPr>
            <w:tcW w:w="1428" w:type="dxa"/>
            <w:noWrap/>
            <w:hideMark/>
          </w:tcPr>
          <w:p w14:paraId="1F0673FF" w14:textId="14EB473D" w:rsidR="00657A9D" w:rsidRPr="00CA128C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2.669.66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657A9D" w:rsidRPr="00657A9D" w14:paraId="2EA851BF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76EA5B37" w14:textId="61B44DF3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17BA3309" w14:textId="77777777" w:rsidR="00657A9D" w:rsidRPr="00CA128C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612000</w:t>
            </w:r>
          </w:p>
        </w:tc>
        <w:tc>
          <w:tcPr>
            <w:tcW w:w="1770" w:type="dxa"/>
            <w:noWrap/>
            <w:hideMark/>
          </w:tcPr>
          <w:p w14:paraId="5D44A307" w14:textId="3EC0C698" w:rsidR="00657A9D" w:rsidRPr="00CA128C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CA128C">
              <w:rPr>
                <w:rFonts w:ascii="Calibri" w:hAnsi="Calibri" w:cs="Calibri"/>
                <w:color w:val="000000"/>
                <w:szCs w:val="22"/>
              </w:rPr>
              <w:t>1.</w:t>
            </w:r>
            <w:r w:rsidR="00AE6AEF" w:rsidRPr="00CA128C">
              <w:rPr>
                <w:rFonts w:ascii="Calibri" w:hAnsi="Calibri" w:cs="Calibri"/>
                <w:color w:val="000000"/>
                <w:szCs w:val="22"/>
              </w:rPr>
              <w:t>038.499</w:t>
            </w:r>
          </w:p>
        </w:tc>
        <w:tc>
          <w:tcPr>
            <w:tcW w:w="1428" w:type="dxa"/>
            <w:noWrap/>
            <w:hideMark/>
          </w:tcPr>
          <w:p w14:paraId="2D2F3DAD" w14:textId="078A922F" w:rsidR="00657A9D" w:rsidRPr="00CA128C" w:rsidRDefault="000A584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908.800</w:t>
            </w:r>
          </w:p>
        </w:tc>
        <w:tc>
          <w:tcPr>
            <w:tcW w:w="1428" w:type="dxa"/>
            <w:noWrap/>
            <w:hideMark/>
          </w:tcPr>
          <w:p w14:paraId="085DF28A" w14:textId="3AC53584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1.069.65</w:t>
            </w:r>
            <w:r w:rsidR="00141CFD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428" w:type="dxa"/>
            <w:noWrap/>
            <w:hideMark/>
          </w:tcPr>
          <w:p w14:paraId="172E3FB3" w14:textId="42A9D64A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1.102.813</w:t>
            </w:r>
          </w:p>
        </w:tc>
        <w:tc>
          <w:tcPr>
            <w:tcW w:w="1428" w:type="dxa"/>
            <w:noWrap/>
            <w:hideMark/>
          </w:tcPr>
          <w:p w14:paraId="644E65E8" w14:textId="6B7129E1" w:rsidR="00657A9D" w:rsidRPr="00CA128C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color w:val="000000"/>
                <w:szCs w:val="22"/>
              </w:rPr>
              <w:t>1.139.206</w:t>
            </w:r>
          </w:p>
        </w:tc>
      </w:tr>
      <w:tr w:rsidR="00657A9D" w:rsidRPr="00621008" w14:paraId="66C1F136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0A54C569" w14:textId="15A32C1B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1260962" w14:textId="77777777" w:rsidR="00657A9D" w:rsidRPr="001B58D1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613000</w:t>
            </w:r>
          </w:p>
        </w:tc>
        <w:tc>
          <w:tcPr>
            <w:tcW w:w="1770" w:type="dxa"/>
            <w:noWrap/>
            <w:hideMark/>
          </w:tcPr>
          <w:p w14:paraId="5B42F64D" w14:textId="391D10D7" w:rsidR="00657A9D" w:rsidRPr="001B58D1" w:rsidRDefault="00AE6AE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7.613.940</w:t>
            </w:r>
          </w:p>
        </w:tc>
        <w:tc>
          <w:tcPr>
            <w:tcW w:w="1428" w:type="dxa"/>
            <w:noWrap/>
            <w:hideMark/>
          </w:tcPr>
          <w:p w14:paraId="32EFD1FF" w14:textId="5A32805A" w:rsidR="00657A9D" w:rsidRPr="001B58D1" w:rsidRDefault="000A584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8.083.950</w:t>
            </w:r>
          </w:p>
        </w:tc>
        <w:tc>
          <w:tcPr>
            <w:tcW w:w="1428" w:type="dxa"/>
            <w:noWrap/>
            <w:hideMark/>
          </w:tcPr>
          <w:p w14:paraId="3557FE4D" w14:textId="431EF672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7.842.358</w:t>
            </w:r>
          </w:p>
        </w:tc>
        <w:tc>
          <w:tcPr>
            <w:tcW w:w="1428" w:type="dxa"/>
            <w:noWrap/>
            <w:hideMark/>
          </w:tcPr>
          <w:p w14:paraId="0BC3A193" w14:textId="666343B4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8.085.471</w:t>
            </w:r>
          </w:p>
        </w:tc>
        <w:tc>
          <w:tcPr>
            <w:tcW w:w="1428" w:type="dxa"/>
            <w:noWrap/>
            <w:hideMark/>
          </w:tcPr>
          <w:p w14:paraId="6B1A3075" w14:textId="02C24BA3" w:rsidR="00657A9D" w:rsidRPr="001B58D1" w:rsidRDefault="0024087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8.352.29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</w:tr>
      <w:tr w:rsidR="00657A9D" w:rsidRPr="00657A9D" w14:paraId="6093CF78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94F966F" w14:textId="37C432CD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3D4AF6CB" w14:textId="77777777" w:rsidR="00657A9D" w:rsidRPr="001B58D1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614000</w:t>
            </w:r>
          </w:p>
        </w:tc>
        <w:tc>
          <w:tcPr>
            <w:tcW w:w="1770" w:type="dxa"/>
            <w:noWrap/>
            <w:hideMark/>
          </w:tcPr>
          <w:p w14:paraId="7FEA94BF" w14:textId="62A19A36" w:rsidR="00657A9D" w:rsidRPr="001B58D1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AE6AEF"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5.498.623</w:t>
            </w:r>
          </w:p>
        </w:tc>
        <w:tc>
          <w:tcPr>
            <w:tcW w:w="1428" w:type="dxa"/>
            <w:noWrap/>
            <w:hideMark/>
          </w:tcPr>
          <w:p w14:paraId="65595CC5" w14:textId="47CA0D98" w:rsidR="00657A9D" w:rsidRPr="001B58D1" w:rsidRDefault="001671E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0A5845"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7.796.927</w:t>
            </w:r>
          </w:p>
        </w:tc>
        <w:tc>
          <w:tcPr>
            <w:tcW w:w="1428" w:type="dxa"/>
            <w:noWrap/>
            <w:hideMark/>
          </w:tcPr>
          <w:p w14:paraId="3048D54C" w14:textId="58D3EADC" w:rsidR="00657A9D" w:rsidRPr="001B58D1" w:rsidRDefault="0024087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40877">
              <w:rPr>
                <w:rFonts w:ascii="Calibri" w:hAnsi="Calibri" w:cs="Calibri"/>
                <w:b/>
                <w:bCs/>
                <w:color w:val="000000"/>
                <w:szCs w:val="22"/>
              </w:rPr>
              <w:t>15.963.58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28" w:type="dxa"/>
            <w:noWrap/>
            <w:hideMark/>
          </w:tcPr>
          <w:p w14:paraId="752B9561" w14:textId="71D20390" w:rsidR="00657A9D" w:rsidRPr="001B58D1" w:rsidRDefault="00CB622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16.458.452</w:t>
            </w:r>
          </w:p>
        </w:tc>
        <w:tc>
          <w:tcPr>
            <w:tcW w:w="1428" w:type="dxa"/>
            <w:noWrap/>
            <w:hideMark/>
          </w:tcPr>
          <w:p w14:paraId="240EA31A" w14:textId="32E9C071" w:rsidR="00657A9D" w:rsidRPr="001B58D1" w:rsidRDefault="00CB622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17.001.58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</w:tr>
      <w:tr w:rsidR="00657A9D" w:rsidRPr="00621008" w14:paraId="3A8FF3CC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218B232F" w14:textId="60158BAD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4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1D18DD3" w14:textId="77777777" w:rsidR="00657A9D" w:rsidRPr="001B58D1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615000</w:t>
            </w:r>
          </w:p>
        </w:tc>
        <w:tc>
          <w:tcPr>
            <w:tcW w:w="1770" w:type="dxa"/>
            <w:noWrap/>
            <w:hideMark/>
          </w:tcPr>
          <w:p w14:paraId="0F3AC9FF" w14:textId="3D9DE338" w:rsidR="00657A9D" w:rsidRPr="001B58D1" w:rsidRDefault="00AE6AEF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2.382.543</w:t>
            </w:r>
          </w:p>
        </w:tc>
        <w:tc>
          <w:tcPr>
            <w:tcW w:w="1428" w:type="dxa"/>
            <w:noWrap/>
            <w:hideMark/>
          </w:tcPr>
          <w:p w14:paraId="5D63F64E" w14:textId="57122D62" w:rsidR="00657A9D" w:rsidRPr="001B58D1" w:rsidRDefault="000A584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4.360.500</w:t>
            </w:r>
          </w:p>
        </w:tc>
        <w:tc>
          <w:tcPr>
            <w:tcW w:w="1428" w:type="dxa"/>
            <w:noWrap/>
            <w:hideMark/>
          </w:tcPr>
          <w:p w14:paraId="5EECF0CA" w14:textId="48B6CB77" w:rsidR="00657A9D" w:rsidRPr="001B58D1" w:rsidRDefault="00CB622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2.454.019</w:t>
            </w:r>
          </w:p>
        </w:tc>
        <w:tc>
          <w:tcPr>
            <w:tcW w:w="1428" w:type="dxa"/>
            <w:noWrap/>
            <w:hideMark/>
          </w:tcPr>
          <w:p w14:paraId="42DE6926" w14:textId="65ACDCB3" w:rsidR="00657A9D" w:rsidRPr="001B58D1" w:rsidRDefault="00CB622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2.530.09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28" w:type="dxa"/>
            <w:noWrap/>
            <w:hideMark/>
          </w:tcPr>
          <w:p w14:paraId="6974A2A1" w14:textId="7B80566B" w:rsidR="00657A9D" w:rsidRPr="001B58D1" w:rsidRDefault="00CB6227" w:rsidP="00CB6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  </w:t>
            </w: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2.613.58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</w:p>
        </w:tc>
      </w:tr>
      <w:tr w:rsidR="00657A9D" w:rsidRPr="00621008" w14:paraId="13433058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F88B5DF" w14:textId="47863E79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7AB600E7" w14:textId="77777777" w:rsidR="00657A9D" w:rsidRPr="001B58D1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616000</w:t>
            </w:r>
          </w:p>
        </w:tc>
        <w:tc>
          <w:tcPr>
            <w:tcW w:w="1770" w:type="dxa"/>
            <w:noWrap/>
            <w:hideMark/>
          </w:tcPr>
          <w:p w14:paraId="334D9667" w14:textId="1FD51BE0" w:rsidR="00657A9D" w:rsidRPr="001B58D1" w:rsidRDefault="00AE6AEF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245.261</w:t>
            </w:r>
          </w:p>
        </w:tc>
        <w:tc>
          <w:tcPr>
            <w:tcW w:w="1428" w:type="dxa"/>
            <w:noWrap/>
            <w:hideMark/>
          </w:tcPr>
          <w:p w14:paraId="428FCA41" w14:textId="14DE2860" w:rsidR="00657A9D" w:rsidRPr="001B58D1" w:rsidRDefault="000A584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B58D1">
              <w:rPr>
                <w:rFonts w:ascii="Calibri" w:hAnsi="Calibri" w:cs="Calibri"/>
                <w:b/>
                <w:bCs/>
                <w:color w:val="000000"/>
                <w:szCs w:val="22"/>
              </w:rPr>
              <w:t>308.000</w:t>
            </w:r>
          </w:p>
        </w:tc>
        <w:tc>
          <w:tcPr>
            <w:tcW w:w="1428" w:type="dxa"/>
            <w:noWrap/>
            <w:hideMark/>
          </w:tcPr>
          <w:p w14:paraId="214EFB7A" w14:textId="4ED3FAD1" w:rsidR="00657A9D" w:rsidRPr="001B58D1" w:rsidRDefault="00CB622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252.61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428" w:type="dxa"/>
            <w:noWrap/>
            <w:hideMark/>
          </w:tcPr>
          <w:p w14:paraId="6E124551" w14:textId="12CF70B4" w:rsidR="00657A9D" w:rsidRPr="001B58D1" w:rsidRDefault="00CB622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260.450</w:t>
            </w:r>
          </w:p>
        </w:tc>
        <w:tc>
          <w:tcPr>
            <w:tcW w:w="1428" w:type="dxa"/>
            <w:noWrap/>
            <w:hideMark/>
          </w:tcPr>
          <w:p w14:paraId="4DFA3800" w14:textId="27C783A5" w:rsidR="00657A9D" w:rsidRPr="001B58D1" w:rsidRDefault="00CB622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B6227">
              <w:rPr>
                <w:rFonts w:ascii="Calibri" w:hAnsi="Calibri" w:cs="Calibri"/>
                <w:b/>
                <w:bCs/>
                <w:color w:val="000000"/>
                <w:szCs w:val="22"/>
              </w:rPr>
              <w:t>269.04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</w:tr>
      <w:tr w:rsidR="00657A9D" w:rsidRPr="00657A9D" w14:paraId="32D790AF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3A2595E" w14:textId="12461E8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lastRenderedPageBreak/>
              <w:t>3</w:t>
            </w:r>
            <w:r w:rsidR="00173891">
              <w:rPr>
                <w:rFonts w:ascii="Calibri" w:hAnsi="Calibri" w:cs="Calibri"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1770" w:type="dxa"/>
            <w:noWrap/>
            <w:hideMark/>
          </w:tcPr>
          <w:p w14:paraId="564B23DE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680000</w:t>
            </w:r>
          </w:p>
        </w:tc>
        <w:tc>
          <w:tcPr>
            <w:tcW w:w="1770" w:type="dxa"/>
            <w:noWrap/>
            <w:hideMark/>
          </w:tcPr>
          <w:p w14:paraId="1BABE8BF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2D0CACD9" w14:textId="7EF2AFE8" w:rsidR="00657A9D" w:rsidRPr="00657A9D" w:rsidRDefault="0071704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5A4FC2EB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40F59327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281B1A95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0</w:t>
            </w:r>
          </w:p>
        </w:tc>
      </w:tr>
      <w:tr w:rsidR="00657A9D" w:rsidRPr="00657A9D" w14:paraId="11D080A4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12D65927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36.</w:t>
            </w:r>
          </w:p>
        </w:tc>
        <w:tc>
          <w:tcPr>
            <w:tcW w:w="1770" w:type="dxa"/>
            <w:noWrap/>
            <w:hideMark/>
          </w:tcPr>
          <w:p w14:paraId="4426DCE6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820000</w:t>
            </w:r>
          </w:p>
        </w:tc>
        <w:tc>
          <w:tcPr>
            <w:tcW w:w="1770" w:type="dxa"/>
            <w:noWrap/>
            <w:hideMark/>
          </w:tcPr>
          <w:p w14:paraId="21F53215" w14:textId="753A6FF0" w:rsidR="00657A9D" w:rsidRPr="00657A9D" w:rsidRDefault="006656DB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15.191.070</w:t>
            </w:r>
          </w:p>
        </w:tc>
        <w:tc>
          <w:tcPr>
            <w:tcW w:w="1428" w:type="dxa"/>
            <w:noWrap/>
            <w:hideMark/>
          </w:tcPr>
          <w:p w14:paraId="568F10E4" w14:textId="5450C4DA" w:rsidR="00657A9D" w:rsidRPr="00657A9D" w:rsidRDefault="001B58D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26.728.600</w:t>
            </w:r>
          </w:p>
        </w:tc>
        <w:tc>
          <w:tcPr>
            <w:tcW w:w="1428" w:type="dxa"/>
            <w:noWrap/>
            <w:hideMark/>
          </w:tcPr>
          <w:p w14:paraId="4987DCAF" w14:textId="683E5C6D" w:rsidR="00657A9D" w:rsidRPr="00657A9D" w:rsidRDefault="00FB3B4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B3B4A">
              <w:rPr>
                <w:rFonts w:ascii="Calibri" w:hAnsi="Calibri" w:cs="Calibri"/>
                <w:b/>
                <w:bCs/>
                <w:color w:val="000000"/>
                <w:szCs w:val="22"/>
              </w:rPr>
              <w:t>15.646.802</w:t>
            </w:r>
          </w:p>
        </w:tc>
        <w:tc>
          <w:tcPr>
            <w:tcW w:w="1428" w:type="dxa"/>
            <w:noWrap/>
            <w:hideMark/>
          </w:tcPr>
          <w:p w14:paraId="7C2A07F4" w14:textId="553291E4" w:rsidR="00657A9D" w:rsidRPr="00657A9D" w:rsidRDefault="00FB3B4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FB3B4A">
              <w:rPr>
                <w:rFonts w:ascii="Calibri" w:hAnsi="Calibri" w:cs="Calibri"/>
                <w:b/>
                <w:bCs/>
                <w:color w:val="000000"/>
                <w:szCs w:val="22"/>
              </w:rPr>
              <w:t>16.131.85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28" w:type="dxa"/>
            <w:noWrap/>
            <w:hideMark/>
          </w:tcPr>
          <w:p w14:paraId="7380086F" w14:textId="47EAB2D8" w:rsidR="00657A9D" w:rsidRPr="00657A9D" w:rsidRDefault="00F7470A" w:rsidP="00CB6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 </w:t>
            </w:r>
            <w:r w:rsidR="00FB3B4A" w:rsidRPr="00FB3B4A">
              <w:rPr>
                <w:rFonts w:ascii="Calibri" w:hAnsi="Calibri" w:cs="Calibri"/>
                <w:b/>
                <w:bCs/>
                <w:color w:val="000000"/>
                <w:szCs w:val="22"/>
              </w:rPr>
              <w:t>16.664.20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</w:tr>
      <w:tr w:rsidR="00657A9D" w:rsidRPr="00657A9D" w14:paraId="542BFAEF" w14:textId="77777777" w:rsidTr="00AB6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06E3BFD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37.</w:t>
            </w:r>
          </w:p>
        </w:tc>
        <w:tc>
          <w:tcPr>
            <w:tcW w:w="1770" w:type="dxa"/>
            <w:noWrap/>
            <w:hideMark/>
          </w:tcPr>
          <w:p w14:paraId="6A44422C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821000</w:t>
            </w:r>
          </w:p>
        </w:tc>
        <w:tc>
          <w:tcPr>
            <w:tcW w:w="1770" w:type="dxa"/>
            <w:noWrap/>
            <w:hideMark/>
          </w:tcPr>
          <w:p w14:paraId="57AB775C" w14:textId="00ABFA4C" w:rsidR="00657A9D" w:rsidRPr="00657A9D" w:rsidRDefault="00F7470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13.970.702</w:t>
            </w:r>
          </w:p>
        </w:tc>
        <w:tc>
          <w:tcPr>
            <w:tcW w:w="1428" w:type="dxa"/>
            <w:noWrap/>
            <w:hideMark/>
          </w:tcPr>
          <w:p w14:paraId="680EFB68" w14:textId="2AAF29F9" w:rsidR="00657A9D" w:rsidRPr="00657A9D" w:rsidRDefault="001B58D1" w:rsidP="002D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25.441.600</w:t>
            </w:r>
          </w:p>
        </w:tc>
        <w:tc>
          <w:tcPr>
            <w:tcW w:w="1428" w:type="dxa"/>
            <w:noWrap/>
            <w:hideMark/>
          </w:tcPr>
          <w:p w14:paraId="21CFAFB5" w14:textId="4285FE14" w:rsidR="00657A9D" w:rsidRPr="00657A9D" w:rsidRDefault="00F7470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14.389.823</w:t>
            </w:r>
          </w:p>
        </w:tc>
        <w:tc>
          <w:tcPr>
            <w:tcW w:w="1428" w:type="dxa"/>
            <w:noWrap/>
            <w:hideMark/>
          </w:tcPr>
          <w:p w14:paraId="37946DF3" w14:textId="776B9E30" w:rsidR="00657A9D" w:rsidRPr="00657A9D" w:rsidRDefault="00F7470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14.835.90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428" w:type="dxa"/>
            <w:noWrap/>
            <w:hideMark/>
          </w:tcPr>
          <w:p w14:paraId="544AC9C9" w14:textId="07B8996B" w:rsidR="00657A9D" w:rsidRPr="00657A9D" w:rsidRDefault="00F7470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15.325.49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657A9D" w:rsidRPr="00657A9D" w14:paraId="2B41C969" w14:textId="77777777" w:rsidTr="00AB6A6A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noWrap/>
            <w:hideMark/>
          </w:tcPr>
          <w:p w14:paraId="364697A3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38.</w:t>
            </w:r>
          </w:p>
        </w:tc>
        <w:tc>
          <w:tcPr>
            <w:tcW w:w="1770" w:type="dxa"/>
            <w:noWrap/>
            <w:hideMark/>
          </w:tcPr>
          <w:p w14:paraId="4D3428DF" w14:textId="7777777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823000</w:t>
            </w:r>
          </w:p>
        </w:tc>
        <w:tc>
          <w:tcPr>
            <w:tcW w:w="1770" w:type="dxa"/>
            <w:noWrap/>
            <w:hideMark/>
          </w:tcPr>
          <w:p w14:paraId="6510D8FD" w14:textId="6177D5D1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  <w:r w:rsidR="00F7470A">
              <w:rPr>
                <w:rFonts w:ascii="Calibri" w:hAnsi="Calibri" w:cs="Calibri"/>
                <w:color w:val="000000"/>
                <w:szCs w:val="22"/>
              </w:rPr>
              <w:t>220.368</w:t>
            </w:r>
          </w:p>
        </w:tc>
        <w:tc>
          <w:tcPr>
            <w:tcW w:w="1428" w:type="dxa"/>
            <w:noWrap/>
            <w:hideMark/>
          </w:tcPr>
          <w:p w14:paraId="526143EA" w14:textId="48716CD5" w:rsidR="00657A9D" w:rsidRPr="00657A9D" w:rsidRDefault="00AE6AEF" w:rsidP="00AE6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1.2</w:t>
            </w:r>
            <w:r w:rsidR="001B58D1">
              <w:rPr>
                <w:rFonts w:ascii="Calibri" w:hAnsi="Calibri" w:cs="Calibri"/>
                <w:color w:val="000000"/>
                <w:szCs w:val="22"/>
              </w:rPr>
              <w:t>87.000</w:t>
            </w:r>
          </w:p>
        </w:tc>
        <w:tc>
          <w:tcPr>
            <w:tcW w:w="1428" w:type="dxa"/>
            <w:noWrap/>
            <w:hideMark/>
          </w:tcPr>
          <w:p w14:paraId="78775852" w14:textId="2D030248" w:rsidR="00657A9D" w:rsidRPr="00657A9D" w:rsidRDefault="00F7470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1.256.979</w:t>
            </w:r>
          </w:p>
        </w:tc>
        <w:tc>
          <w:tcPr>
            <w:tcW w:w="1428" w:type="dxa"/>
            <w:noWrap/>
            <w:hideMark/>
          </w:tcPr>
          <w:p w14:paraId="15844CB6" w14:textId="4D27B4D3" w:rsidR="00657A9D" w:rsidRPr="00657A9D" w:rsidRDefault="00F7470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1.295.945</w:t>
            </w:r>
          </w:p>
        </w:tc>
        <w:tc>
          <w:tcPr>
            <w:tcW w:w="1428" w:type="dxa"/>
            <w:noWrap/>
            <w:hideMark/>
          </w:tcPr>
          <w:p w14:paraId="0F7F8C9B" w14:textId="2D1694AE" w:rsidR="00657A9D" w:rsidRPr="00657A9D" w:rsidRDefault="00F7470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F7470A">
              <w:rPr>
                <w:rFonts w:ascii="Calibri" w:hAnsi="Calibri" w:cs="Calibri"/>
                <w:color w:val="000000"/>
                <w:szCs w:val="22"/>
              </w:rPr>
              <w:t>1.338.71</w:t>
            </w: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</w:tbl>
    <w:p w14:paraId="15D89657" w14:textId="77777777" w:rsidR="00CF152E" w:rsidRDefault="00CF152E" w:rsidP="00CF152E">
      <w:pPr>
        <w:jc w:val="both"/>
        <w:rPr>
          <w:rFonts w:ascii="Arial" w:hAnsi="Arial" w:cs="Arial"/>
          <w:szCs w:val="22"/>
        </w:rPr>
      </w:pPr>
    </w:p>
    <w:p w14:paraId="310C4F3D" w14:textId="77777777" w:rsidR="00CF152E" w:rsidRPr="000B0BCC" w:rsidRDefault="00CF152E" w:rsidP="000B0BCC">
      <w:pPr>
        <w:jc w:val="both"/>
        <w:rPr>
          <w:sz w:val="24"/>
          <w:szCs w:val="24"/>
        </w:rPr>
      </w:pPr>
      <w:r w:rsidRPr="00621D74">
        <w:rPr>
          <w:sz w:val="24"/>
          <w:szCs w:val="24"/>
        </w:rPr>
        <w:t>Najveće stavke prihoda općina nalazimo na ekonomskom kodu 717000 – PDV-e</w:t>
      </w:r>
      <w:r>
        <w:rPr>
          <w:sz w:val="24"/>
          <w:szCs w:val="24"/>
        </w:rPr>
        <w:t xml:space="preserve">, te na </w:t>
      </w:r>
      <w:r w:rsidRPr="00621D74">
        <w:rPr>
          <w:sz w:val="24"/>
          <w:szCs w:val="24"/>
        </w:rPr>
        <w:t>ekonomskom kodu 722000 – Naknade i pristojbe od pružanja javnih usluga i na ekonomskom kodu 732000 – Primljeni tekući transferi.</w:t>
      </w:r>
    </w:p>
    <w:p w14:paraId="4048A383" w14:textId="77777777" w:rsidR="00CF152E" w:rsidRDefault="00CF152E" w:rsidP="00CF152E"/>
    <w:p w14:paraId="3DB5B5F3" w14:textId="2DC0E57D" w:rsidR="00CF152E" w:rsidRPr="00337281" w:rsidRDefault="00877702" w:rsidP="00877702">
      <w:pPr>
        <w:pStyle w:val="Opisslike"/>
      </w:pPr>
      <w:bookmarkStart w:id="148" w:name="_Toc106179196"/>
      <w:bookmarkStart w:id="149" w:name="_Toc232407862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14</w:t>
      </w:r>
      <w:r w:rsidR="00D82381">
        <w:fldChar w:fldCharType="end"/>
      </w:r>
      <w:r>
        <w:t xml:space="preserve">. </w:t>
      </w:r>
      <w:r w:rsidR="00CF152E" w:rsidRPr="00337281">
        <w:t xml:space="preserve">Projekcija prihoda i struktura izvršenja proračuna općina HBŽ-e za razdoblje </w:t>
      </w:r>
      <w:r w:rsidR="00657A9D">
        <w:t>202</w:t>
      </w:r>
      <w:r w:rsidR="001F3D51">
        <w:t>7</w:t>
      </w:r>
      <w:r w:rsidR="00657A9D">
        <w:t>.-202</w:t>
      </w:r>
      <w:r w:rsidR="001F3D51">
        <w:t>9</w:t>
      </w:r>
      <w:r w:rsidR="00CF152E" w:rsidRPr="00337281">
        <w:t>.godine-prihodi i primitci u apsolutnim iznosima</w:t>
      </w:r>
      <w:bookmarkEnd w:id="148"/>
      <w:r w:rsidR="00657A9D">
        <w:t xml:space="preserve"> KM</w:t>
      </w:r>
      <w:bookmarkEnd w:id="149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686"/>
        <w:gridCol w:w="1917"/>
        <w:gridCol w:w="1428"/>
        <w:gridCol w:w="892"/>
        <w:gridCol w:w="1282"/>
        <w:gridCol w:w="1282"/>
        <w:gridCol w:w="1282"/>
        <w:gridCol w:w="1282"/>
      </w:tblGrid>
      <w:tr w:rsidR="00657A9D" w:rsidRPr="00657A9D" w14:paraId="35C68624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vMerge w:val="restart"/>
            <w:noWrap/>
            <w:hideMark/>
          </w:tcPr>
          <w:p w14:paraId="7F12118D" w14:textId="77777777" w:rsidR="00657A9D" w:rsidRPr="00657A9D" w:rsidRDefault="00657A9D" w:rsidP="00657A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R.B.</w:t>
            </w:r>
          </w:p>
        </w:tc>
        <w:tc>
          <w:tcPr>
            <w:tcW w:w="1917" w:type="dxa"/>
            <w:vMerge w:val="restart"/>
            <w:noWrap/>
            <w:hideMark/>
          </w:tcPr>
          <w:p w14:paraId="73384C19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OPĆINA/GRAD</w:t>
            </w:r>
          </w:p>
        </w:tc>
        <w:tc>
          <w:tcPr>
            <w:tcW w:w="1428" w:type="dxa"/>
            <w:vMerge w:val="restart"/>
            <w:hideMark/>
          </w:tcPr>
          <w:p w14:paraId="51CC6147" w14:textId="4F4DA5EE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OSTVARENO 202</w:t>
            </w:r>
            <w:r w:rsidR="007E69D3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892" w:type="dxa"/>
            <w:vMerge w:val="restart"/>
            <w:noWrap/>
            <w:hideMark/>
          </w:tcPr>
          <w:p w14:paraId="28BCC6EC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UDIO</w:t>
            </w:r>
          </w:p>
        </w:tc>
        <w:tc>
          <w:tcPr>
            <w:tcW w:w="5128" w:type="dxa"/>
            <w:gridSpan w:val="4"/>
            <w:noWrap/>
            <w:hideMark/>
          </w:tcPr>
          <w:p w14:paraId="6D281550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</w:tr>
      <w:tr w:rsidR="00657A9D" w:rsidRPr="00657A9D" w14:paraId="0D255F5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vMerge/>
            <w:hideMark/>
          </w:tcPr>
          <w:p w14:paraId="1C14D218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17" w:type="dxa"/>
            <w:vMerge/>
            <w:hideMark/>
          </w:tcPr>
          <w:p w14:paraId="65CCB357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28" w:type="dxa"/>
            <w:vMerge/>
            <w:hideMark/>
          </w:tcPr>
          <w:p w14:paraId="7908FB86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92" w:type="dxa"/>
            <w:vMerge/>
            <w:hideMark/>
          </w:tcPr>
          <w:p w14:paraId="68A64B99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282" w:type="dxa"/>
            <w:noWrap/>
            <w:hideMark/>
          </w:tcPr>
          <w:p w14:paraId="4EAF199A" w14:textId="60518591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7E69D3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82" w:type="dxa"/>
            <w:noWrap/>
            <w:hideMark/>
          </w:tcPr>
          <w:p w14:paraId="2E760DCD" w14:textId="252AEFFC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7E69D3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82" w:type="dxa"/>
            <w:noWrap/>
            <w:hideMark/>
          </w:tcPr>
          <w:p w14:paraId="01FC37AF" w14:textId="312660F3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7E69D3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82" w:type="dxa"/>
            <w:noWrap/>
            <w:hideMark/>
          </w:tcPr>
          <w:p w14:paraId="43F0EF9E" w14:textId="567DF6AD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7E69D3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</w:tr>
      <w:tr w:rsidR="00657A9D" w:rsidRPr="00657A9D" w14:paraId="281880B9" w14:textId="77777777" w:rsidTr="0082227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6DC7360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17" w:type="dxa"/>
            <w:noWrap/>
            <w:hideMark/>
          </w:tcPr>
          <w:p w14:paraId="0E7108A2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28" w:type="dxa"/>
            <w:noWrap/>
            <w:hideMark/>
          </w:tcPr>
          <w:p w14:paraId="2164F104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892" w:type="dxa"/>
            <w:noWrap/>
            <w:hideMark/>
          </w:tcPr>
          <w:p w14:paraId="387EE8D7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282" w:type="dxa"/>
            <w:noWrap/>
            <w:hideMark/>
          </w:tcPr>
          <w:p w14:paraId="77B75765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282" w:type="dxa"/>
            <w:noWrap/>
            <w:hideMark/>
          </w:tcPr>
          <w:p w14:paraId="4FA0AEFB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4(1*1,03)</w:t>
            </w:r>
          </w:p>
        </w:tc>
        <w:tc>
          <w:tcPr>
            <w:tcW w:w="1282" w:type="dxa"/>
            <w:noWrap/>
            <w:hideMark/>
          </w:tcPr>
          <w:p w14:paraId="6265C599" w14:textId="35B7972E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5(4*1,03</w:t>
            </w:r>
            <w:r w:rsidR="009654F4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82" w:type="dxa"/>
            <w:noWrap/>
            <w:hideMark/>
          </w:tcPr>
          <w:p w14:paraId="755A666E" w14:textId="5F2F8FBC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6(5*1,03</w:t>
            </w:r>
            <w:r w:rsidR="009654F4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657A9D" w:rsidRPr="00657A9D" w14:paraId="19705F8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4F0F0F4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1917" w:type="dxa"/>
            <w:noWrap/>
            <w:hideMark/>
          </w:tcPr>
          <w:p w14:paraId="0FCACB80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Livno</w:t>
            </w:r>
          </w:p>
        </w:tc>
        <w:tc>
          <w:tcPr>
            <w:tcW w:w="1428" w:type="dxa"/>
            <w:noWrap/>
            <w:hideMark/>
          </w:tcPr>
          <w:p w14:paraId="71EDAEC3" w14:textId="75AF6D03" w:rsidR="00657A9D" w:rsidRPr="00657A9D" w:rsidRDefault="0017441B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20.418.238</w:t>
            </w:r>
          </w:p>
        </w:tc>
        <w:tc>
          <w:tcPr>
            <w:tcW w:w="892" w:type="dxa"/>
            <w:noWrap/>
            <w:hideMark/>
          </w:tcPr>
          <w:p w14:paraId="465650B2" w14:textId="6111F4C4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7E69D3">
              <w:rPr>
                <w:rFonts w:ascii="Calibri" w:hAnsi="Calibri" w:cs="Calibri"/>
                <w:color w:val="000000"/>
                <w:szCs w:val="22"/>
              </w:rPr>
              <w:t>5,78</w:t>
            </w:r>
          </w:p>
        </w:tc>
        <w:tc>
          <w:tcPr>
            <w:tcW w:w="1282" w:type="dxa"/>
            <w:noWrap/>
            <w:hideMark/>
          </w:tcPr>
          <w:p w14:paraId="78629F31" w14:textId="1C5228A7" w:rsidR="00657A9D" w:rsidRPr="00657A9D" w:rsidRDefault="009654F4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="00AB64B2">
              <w:rPr>
                <w:rFonts w:ascii="Calibri" w:hAnsi="Calibri" w:cs="Calibri"/>
                <w:color w:val="000000"/>
                <w:szCs w:val="22"/>
              </w:rPr>
              <w:t>3.588.748</w:t>
            </w:r>
          </w:p>
        </w:tc>
        <w:tc>
          <w:tcPr>
            <w:tcW w:w="1282" w:type="dxa"/>
            <w:noWrap/>
            <w:hideMark/>
          </w:tcPr>
          <w:p w14:paraId="7A821588" w14:textId="280B1AED" w:rsidR="00657A9D" w:rsidRPr="00657A9D" w:rsidRDefault="00AB64B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B64B2">
              <w:rPr>
                <w:rFonts w:ascii="Calibri" w:hAnsi="Calibri" w:cs="Calibri"/>
                <w:color w:val="000000"/>
                <w:szCs w:val="22"/>
              </w:rPr>
              <w:t>21.030.785</w:t>
            </w:r>
          </w:p>
        </w:tc>
        <w:tc>
          <w:tcPr>
            <w:tcW w:w="1282" w:type="dxa"/>
            <w:noWrap/>
            <w:hideMark/>
          </w:tcPr>
          <w:p w14:paraId="6B80F0A0" w14:textId="0EC54AA2" w:rsidR="00657A9D" w:rsidRPr="00657A9D" w:rsidRDefault="00AB64B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B64B2">
              <w:rPr>
                <w:rFonts w:ascii="Calibri" w:hAnsi="Calibri" w:cs="Calibri"/>
                <w:color w:val="000000"/>
                <w:szCs w:val="22"/>
              </w:rPr>
              <w:t>21.682.739</w:t>
            </w:r>
          </w:p>
        </w:tc>
        <w:tc>
          <w:tcPr>
            <w:tcW w:w="1282" w:type="dxa"/>
            <w:noWrap/>
            <w:hideMark/>
          </w:tcPr>
          <w:p w14:paraId="4C9C0B75" w14:textId="29E4061D" w:rsidR="00657A9D" w:rsidRPr="00657A9D" w:rsidRDefault="00AB64B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B64B2">
              <w:rPr>
                <w:rFonts w:ascii="Calibri" w:hAnsi="Calibri" w:cs="Calibri"/>
                <w:color w:val="000000"/>
                <w:szCs w:val="22"/>
              </w:rPr>
              <w:t>22.398.269</w:t>
            </w:r>
          </w:p>
        </w:tc>
      </w:tr>
      <w:tr w:rsidR="00657A9D" w:rsidRPr="00657A9D" w14:paraId="3FF6F13C" w14:textId="77777777" w:rsidTr="0082227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070E41C0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1917" w:type="dxa"/>
            <w:noWrap/>
            <w:hideMark/>
          </w:tcPr>
          <w:p w14:paraId="48FD0597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bookmarkStart w:id="150" w:name="RANGE!E9"/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Tomislavgrad</w:t>
            </w:r>
            <w:bookmarkEnd w:id="150"/>
          </w:p>
        </w:tc>
        <w:tc>
          <w:tcPr>
            <w:tcW w:w="1428" w:type="dxa"/>
            <w:noWrap/>
            <w:hideMark/>
          </w:tcPr>
          <w:p w14:paraId="2DCC5D74" w14:textId="750F2D83" w:rsidR="00657A9D" w:rsidRPr="00657A9D" w:rsidRDefault="0017441B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18.742.967</w:t>
            </w:r>
          </w:p>
        </w:tc>
        <w:tc>
          <w:tcPr>
            <w:tcW w:w="892" w:type="dxa"/>
            <w:noWrap/>
            <w:hideMark/>
          </w:tcPr>
          <w:p w14:paraId="1429FEB0" w14:textId="50C5C3A3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312F9D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7E69D3">
              <w:rPr>
                <w:rFonts w:ascii="Calibri" w:hAnsi="Calibri" w:cs="Calibri"/>
                <w:color w:val="000000"/>
                <w:szCs w:val="22"/>
              </w:rPr>
              <w:t>85</w:t>
            </w:r>
          </w:p>
        </w:tc>
        <w:tc>
          <w:tcPr>
            <w:tcW w:w="1282" w:type="dxa"/>
            <w:noWrap/>
            <w:hideMark/>
          </w:tcPr>
          <w:p w14:paraId="2A1C6DB8" w14:textId="6D3B4687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AB64B2">
              <w:rPr>
                <w:rFonts w:ascii="Calibri" w:hAnsi="Calibri" w:cs="Calibri"/>
                <w:color w:val="000000"/>
                <w:szCs w:val="22"/>
              </w:rPr>
              <w:t>9.757.852</w:t>
            </w:r>
          </w:p>
        </w:tc>
        <w:tc>
          <w:tcPr>
            <w:tcW w:w="1282" w:type="dxa"/>
            <w:noWrap/>
            <w:hideMark/>
          </w:tcPr>
          <w:p w14:paraId="1FAA0622" w14:textId="25B44198" w:rsidR="00657A9D" w:rsidRPr="00657A9D" w:rsidRDefault="000C289B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289B">
              <w:rPr>
                <w:rFonts w:ascii="Calibri" w:hAnsi="Calibri" w:cs="Calibri"/>
                <w:color w:val="000000"/>
                <w:szCs w:val="22"/>
              </w:rPr>
              <w:t>19.305.256</w:t>
            </w:r>
          </w:p>
        </w:tc>
        <w:tc>
          <w:tcPr>
            <w:tcW w:w="1282" w:type="dxa"/>
            <w:noWrap/>
            <w:hideMark/>
          </w:tcPr>
          <w:p w14:paraId="58BA1B78" w14:textId="525DF5A3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19.903.71</w:t>
            </w: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282" w:type="dxa"/>
            <w:noWrap/>
            <w:hideMark/>
          </w:tcPr>
          <w:p w14:paraId="76BCB19E" w14:textId="57FFB7EA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20.560.54</w:t>
            </w: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657A9D" w:rsidRPr="00657A9D" w14:paraId="35337639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7F9167EE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3.</w:t>
            </w:r>
          </w:p>
        </w:tc>
        <w:tc>
          <w:tcPr>
            <w:tcW w:w="1917" w:type="dxa"/>
            <w:noWrap/>
            <w:hideMark/>
          </w:tcPr>
          <w:p w14:paraId="084D0D33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Drvar</w:t>
            </w:r>
          </w:p>
        </w:tc>
        <w:tc>
          <w:tcPr>
            <w:tcW w:w="1428" w:type="dxa"/>
            <w:noWrap/>
            <w:hideMark/>
          </w:tcPr>
          <w:p w14:paraId="0F001B32" w14:textId="465FB7E4" w:rsidR="00657A9D" w:rsidRPr="00657A9D" w:rsidRDefault="00BE76DC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6.</w:t>
            </w:r>
            <w:r w:rsidR="0017441B">
              <w:rPr>
                <w:rFonts w:ascii="Calibri" w:hAnsi="Calibri" w:cs="Calibri"/>
                <w:color w:val="000000"/>
                <w:szCs w:val="22"/>
              </w:rPr>
              <w:t>318.632</w:t>
            </w:r>
          </w:p>
        </w:tc>
        <w:tc>
          <w:tcPr>
            <w:tcW w:w="892" w:type="dxa"/>
            <w:noWrap/>
            <w:hideMark/>
          </w:tcPr>
          <w:p w14:paraId="12201373" w14:textId="3F6F94AA" w:rsidR="00657A9D" w:rsidRPr="00657A9D" w:rsidRDefault="007E69D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11,07</w:t>
            </w:r>
          </w:p>
        </w:tc>
        <w:tc>
          <w:tcPr>
            <w:tcW w:w="1282" w:type="dxa"/>
            <w:noWrap/>
            <w:hideMark/>
          </w:tcPr>
          <w:p w14:paraId="7396E4C9" w14:textId="25275BD3" w:rsidR="00657A9D" w:rsidRPr="00657A9D" w:rsidRDefault="00AB64B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5.804.000</w:t>
            </w:r>
          </w:p>
        </w:tc>
        <w:tc>
          <w:tcPr>
            <w:tcW w:w="1282" w:type="dxa"/>
            <w:noWrap/>
            <w:hideMark/>
          </w:tcPr>
          <w:p w14:paraId="7ED3F431" w14:textId="554FA0DC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6.508.19</w:t>
            </w: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282" w:type="dxa"/>
            <w:noWrap/>
            <w:hideMark/>
          </w:tcPr>
          <w:p w14:paraId="244C01B3" w14:textId="5AE35C86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6.709.94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282" w:type="dxa"/>
            <w:noWrap/>
            <w:hideMark/>
          </w:tcPr>
          <w:p w14:paraId="12E9FA49" w14:textId="62E741AB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6.931.373</w:t>
            </w:r>
          </w:p>
        </w:tc>
      </w:tr>
      <w:tr w:rsidR="00657A9D" w:rsidRPr="00657A9D" w14:paraId="7D630FD0" w14:textId="77777777" w:rsidTr="0082227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124B28EC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4.</w:t>
            </w:r>
          </w:p>
        </w:tc>
        <w:tc>
          <w:tcPr>
            <w:tcW w:w="1917" w:type="dxa"/>
            <w:noWrap/>
            <w:hideMark/>
          </w:tcPr>
          <w:p w14:paraId="686DB2C2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Bos.Grahovo</w:t>
            </w:r>
            <w:proofErr w:type="spellEnd"/>
          </w:p>
        </w:tc>
        <w:tc>
          <w:tcPr>
            <w:tcW w:w="1428" w:type="dxa"/>
            <w:noWrap/>
            <w:hideMark/>
          </w:tcPr>
          <w:p w14:paraId="536FB230" w14:textId="4D9DABCA" w:rsidR="00657A9D" w:rsidRPr="00657A9D" w:rsidRDefault="00657A9D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  <w:r w:rsidR="00BE76DC">
              <w:rPr>
                <w:rFonts w:ascii="Calibri" w:hAnsi="Calibri" w:cs="Calibri"/>
                <w:color w:val="000000"/>
                <w:szCs w:val="22"/>
              </w:rPr>
              <w:t>423.006</w:t>
            </w:r>
          </w:p>
        </w:tc>
        <w:tc>
          <w:tcPr>
            <w:tcW w:w="892" w:type="dxa"/>
            <w:noWrap/>
            <w:hideMark/>
          </w:tcPr>
          <w:p w14:paraId="7F13C2FC" w14:textId="0FF4D21C" w:rsidR="00657A9D" w:rsidRPr="00657A9D" w:rsidRDefault="007E69D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4,25</w:t>
            </w:r>
          </w:p>
        </w:tc>
        <w:tc>
          <w:tcPr>
            <w:tcW w:w="1282" w:type="dxa"/>
            <w:noWrap/>
            <w:hideMark/>
          </w:tcPr>
          <w:p w14:paraId="342C3ECD" w14:textId="6F2F5AC7" w:rsidR="00657A9D" w:rsidRPr="00657A9D" w:rsidRDefault="00AB64B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3.803.350</w:t>
            </w:r>
          </w:p>
        </w:tc>
        <w:tc>
          <w:tcPr>
            <w:tcW w:w="1282" w:type="dxa"/>
            <w:noWrap/>
            <w:hideMark/>
          </w:tcPr>
          <w:p w14:paraId="2071FEB0" w14:textId="596062A5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2.495.696</w:t>
            </w:r>
          </w:p>
        </w:tc>
        <w:tc>
          <w:tcPr>
            <w:tcW w:w="1282" w:type="dxa"/>
            <w:noWrap/>
            <w:hideMark/>
          </w:tcPr>
          <w:p w14:paraId="504472F7" w14:textId="4370AC42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2.573.06</w:t>
            </w: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282" w:type="dxa"/>
            <w:noWrap/>
            <w:hideMark/>
          </w:tcPr>
          <w:p w14:paraId="6CFB3D14" w14:textId="659FAD62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2.657.97</w:t>
            </w: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657A9D" w:rsidRPr="00657A9D" w14:paraId="7D08077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5C629FF6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5.</w:t>
            </w:r>
          </w:p>
        </w:tc>
        <w:tc>
          <w:tcPr>
            <w:tcW w:w="1917" w:type="dxa"/>
            <w:noWrap/>
            <w:hideMark/>
          </w:tcPr>
          <w:p w14:paraId="4E9F94E1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Glamoč</w:t>
            </w:r>
          </w:p>
        </w:tc>
        <w:tc>
          <w:tcPr>
            <w:tcW w:w="1428" w:type="dxa"/>
            <w:noWrap/>
            <w:hideMark/>
          </w:tcPr>
          <w:p w14:paraId="5B1F66E2" w14:textId="62803D37" w:rsidR="00657A9D" w:rsidRPr="00657A9D" w:rsidRDefault="007E69D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4.508.845</w:t>
            </w:r>
          </w:p>
        </w:tc>
        <w:tc>
          <w:tcPr>
            <w:tcW w:w="892" w:type="dxa"/>
            <w:noWrap/>
            <w:hideMark/>
          </w:tcPr>
          <w:p w14:paraId="5EBAE290" w14:textId="31186434" w:rsidR="00657A9D" w:rsidRPr="00657A9D" w:rsidRDefault="007E69D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7,90</w:t>
            </w:r>
          </w:p>
        </w:tc>
        <w:tc>
          <w:tcPr>
            <w:tcW w:w="1282" w:type="dxa"/>
            <w:noWrap/>
            <w:hideMark/>
          </w:tcPr>
          <w:p w14:paraId="42928ED2" w14:textId="6F497845" w:rsidR="00657A9D" w:rsidRPr="00657A9D" w:rsidRDefault="00AB64B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4.850.000</w:t>
            </w:r>
          </w:p>
        </w:tc>
        <w:tc>
          <w:tcPr>
            <w:tcW w:w="1282" w:type="dxa"/>
            <w:noWrap/>
            <w:hideMark/>
          </w:tcPr>
          <w:p w14:paraId="0B7DE655" w14:textId="6A5EDE6A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4.644.110</w:t>
            </w:r>
          </w:p>
        </w:tc>
        <w:tc>
          <w:tcPr>
            <w:tcW w:w="1282" w:type="dxa"/>
            <w:noWrap/>
            <w:hideMark/>
          </w:tcPr>
          <w:p w14:paraId="77FA0EC3" w14:textId="4C87B41E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4.788.07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82" w:type="dxa"/>
            <w:noWrap/>
            <w:hideMark/>
          </w:tcPr>
          <w:p w14:paraId="4F153E68" w14:textId="6BB07D2E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4.946.084</w:t>
            </w:r>
          </w:p>
        </w:tc>
      </w:tr>
      <w:tr w:rsidR="00657A9D" w:rsidRPr="00657A9D" w14:paraId="0131EC09" w14:textId="77777777" w:rsidTr="0082227C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3812C7A8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6.</w:t>
            </w:r>
          </w:p>
        </w:tc>
        <w:tc>
          <w:tcPr>
            <w:tcW w:w="1917" w:type="dxa"/>
            <w:noWrap/>
            <w:hideMark/>
          </w:tcPr>
          <w:p w14:paraId="43823BB1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Kupres</w:t>
            </w:r>
          </w:p>
        </w:tc>
        <w:tc>
          <w:tcPr>
            <w:tcW w:w="1428" w:type="dxa"/>
            <w:noWrap/>
            <w:hideMark/>
          </w:tcPr>
          <w:p w14:paraId="7638CFF6" w14:textId="2C334557" w:rsidR="00657A9D" w:rsidRPr="00657A9D" w:rsidRDefault="007E69D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4.649.046</w:t>
            </w:r>
          </w:p>
        </w:tc>
        <w:tc>
          <w:tcPr>
            <w:tcW w:w="892" w:type="dxa"/>
            <w:noWrap/>
            <w:hideMark/>
          </w:tcPr>
          <w:p w14:paraId="7C8F0853" w14:textId="54C7D1AB" w:rsidR="00657A9D" w:rsidRPr="00657A9D" w:rsidRDefault="007E69D3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8,15</w:t>
            </w:r>
          </w:p>
        </w:tc>
        <w:tc>
          <w:tcPr>
            <w:tcW w:w="1282" w:type="dxa"/>
            <w:noWrap/>
            <w:hideMark/>
          </w:tcPr>
          <w:p w14:paraId="163F5104" w14:textId="31982C87" w:rsidR="00657A9D" w:rsidRPr="00657A9D" w:rsidRDefault="000C289B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  <w:r w:rsidR="00AB64B2">
              <w:rPr>
                <w:rFonts w:ascii="Calibri" w:hAnsi="Calibri" w:cs="Calibri"/>
                <w:color w:val="000000"/>
                <w:szCs w:val="22"/>
              </w:rPr>
              <w:t>.145.120</w:t>
            </w:r>
          </w:p>
        </w:tc>
        <w:tc>
          <w:tcPr>
            <w:tcW w:w="1282" w:type="dxa"/>
            <w:noWrap/>
            <w:hideMark/>
          </w:tcPr>
          <w:p w14:paraId="1613B97B" w14:textId="0454B159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4.788.51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282" w:type="dxa"/>
            <w:noWrap/>
            <w:hideMark/>
          </w:tcPr>
          <w:p w14:paraId="0DBF71EA" w14:textId="68EA778A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4.936.96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282" w:type="dxa"/>
            <w:noWrap/>
            <w:hideMark/>
          </w:tcPr>
          <w:p w14:paraId="0481C367" w14:textId="6A6F1E2D" w:rsidR="00657A9D" w:rsidRPr="00657A9D" w:rsidRDefault="00A36F7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color w:val="000000"/>
                <w:szCs w:val="22"/>
              </w:rPr>
              <w:t>5.099.88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657A9D" w:rsidRPr="00657A9D" w14:paraId="36212554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" w:type="dxa"/>
            <w:noWrap/>
            <w:hideMark/>
          </w:tcPr>
          <w:p w14:paraId="7338CFC9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7.</w:t>
            </w:r>
          </w:p>
        </w:tc>
        <w:tc>
          <w:tcPr>
            <w:tcW w:w="1917" w:type="dxa"/>
            <w:noWrap/>
            <w:hideMark/>
          </w:tcPr>
          <w:p w14:paraId="65884CE7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UKUPNO PRIHODI</w:t>
            </w:r>
          </w:p>
        </w:tc>
        <w:tc>
          <w:tcPr>
            <w:tcW w:w="1428" w:type="dxa"/>
            <w:noWrap/>
            <w:hideMark/>
          </w:tcPr>
          <w:p w14:paraId="5EE79162" w14:textId="592E1D18" w:rsidR="00657A9D" w:rsidRDefault="00C62C4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62C41">
              <w:rPr>
                <w:rFonts w:ascii="Calibri" w:hAnsi="Calibri" w:cs="Calibri"/>
                <w:b/>
                <w:bCs/>
                <w:color w:val="000000"/>
                <w:szCs w:val="22"/>
              </w:rPr>
              <w:t>57.060.734</w:t>
            </w:r>
          </w:p>
          <w:p w14:paraId="38FB1B1A" w14:textId="74ED9185" w:rsidR="006B7365" w:rsidRPr="00657A9D" w:rsidRDefault="006B736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92" w:type="dxa"/>
            <w:noWrap/>
            <w:hideMark/>
          </w:tcPr>
          <w:p w14:paraId="144B7E7A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282" w:type="dxa"/>
            <w:noWrap/>
            <w:hideMark/>
          </w:tcPr>
          <w:p w14:paraId="2F3FD37B" w14:textId="337095A9" w:rsidR="00657A9D" w:rsidRPr="00657A9D" w:rsidRDefault="005521C3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76.949.070</w:t>
            </w:r>
          </w:p>
        </w:tc>
        <w:tc>
          <w:tcPr>
            <w:tcW w:w="1282" w:type="dxa"/>
            <w:noWrap/>
            <w:hideMark/>
          </w:tcPr>
          <w:p w14:paraId="3EA0E243" w14:textId="635F2ACB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b/>
                <w:bCs/>
                <w:color w:val="000000"/>
                <w:szCs w:val="22"/>
              </w:rPr>
              <w:t>58.772.55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282" w:type="dxa"/>
            <w:noWrap/>
            <w:hideMark/>
          </w:tcPr>
          <w:p w14:paraId="3D14F03E" w14:textId="4C1D7965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b/>
                <w:bCs/>
                <w:color w:val="000000"/>
                <w:szCs w:val="22"/>
              </w:rPr>
              <w:t>60.594.50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282" w:type="dxa"/>
            <w:noWrap/>
            <w:hideMark/>
          </w:tcPr>
          <w:p w14:paraId="6751546F" w14:textId="5B7CF4C6" w:rsidR="00657A9D" w:rsidRPr="00657A9D" w:rsidRDefault="00A36F7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36F71">
              <w:rPr>
                <w:rFonts w:ascii="Calibri" w:hAnsi="Calibri" w:cs="Calibri"/>
                <w:b/>
                <w:bCs/>
                <w:color w:val="000000"/>
                <w:szCs w:val="22"/>
              </w:rPr>
              <w:t>62.594.12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</w:tr>
    </w:tbl>
    <w:p w14:paraId="30A1DCC9" w14:textId="77777777" w:rsidR="00CF152E" w:rsidRDefault="00CF152E" w:rsidP="00CF152E"/>
    <w:p w14:paraId="4C9FD99E" w14:textId="77777777" w:rsidR="00CF152E" w:rsidRDefault="00CF152E" w:rsidP="00CF152E"/>
    <w:p w14:paraId="2B6C70FF" w14:textId="77777777" w:rsidR="00CF152E" w:rsidRDefault="00CF152E" w:rsidP="00877702"/>
    <w:p w14:paraId="7A379E01" w14:textId="6FB3CEF4" w:rsidR="00CF152E" w:rsidRPr="00337281" w:rsidRDefault="00877702" w:rsidP="00877702">
      <w:pPr>
        <w:pStyle w:val="Opisslike"/>
        <w:rPr>
          <w:sz w:val="20"/>
        </w:rPr>
      </w:pPr>
      <w:bookmarkStart w:id="151" w:name="_Toc106179197"/>
      <w:bookmarkStart w:id="152" w:name="_Toc232407863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15</w:t>
      </w:r>
      <w:r w:rsidR="00D82381">
        <w:fldChar w:fldCharType="end"/>
      </w:r>
      <w:r>
        <w:t xml:space="preserve">. </w:t>
      </w:r>
      <w:r w:rsidR="00CF152E" w:rsidRPr="00337281">
        <w:rPr>
          <w:sz w:val="20"/>
        </w:rPr>
        <w:t xml:space="preserve">Projekcija </w:t>
      </w:r>
      <w:r w:rsidR="00657A9D">
        <w:rPr>
          <w:sz w:val="20"/>
        </w:rPr>
        <w:t>rashoda</w:t>
      </w:r>
      <w:r w:rsidR="00CF152E" w:rsidRPr="00337281">
        <w:rPr>
          <w:sz w:val="20"/>
        </w:rPr>
        <w:t xml:space="preserve"> i struktura izvršenja proračun</w:t>
      </w:r>
      <w:r w:rsidR="00657A9D">
        <w:rPr>
          <w:sz w:val="20"/>
        </w:rPr>
        <w:t>a općina HBŽ-e za razdoblje 202</w:t>
      </w:r>
      <w:r w:rsidR="00950980">
        <w:rPr>
          <w:sz w:val="20"/>
        </w:rPr>
        <w:t>7</w:t>
      </w:r>
      <w:r w:rsidR="00657A9D">
        <w:rPr>
          <w:sz w:val="20"/>
        </w:rPr>
        <w:t>.-202</w:t>
      </w:r>
      <w:r w:rsidR="00950980">
        <w:rPr>
          <w:sz w:val="20"/>
        </w:rPr>
        <w:t>9</w:t>
      </w:r>
      <w:r w:rsidR="00657A9D">
        <w:rPr>
          <w:sz w:val="20"/>
        </w:rPr>
        <w:t xml:space="preserve">. </w:t>
      </w:r>
      <w:r w:rsidR="00657A9D" w:rsidRPr="00337281">
        <w:rPr>
          <w:sz w:val="20"/>
        </w:rPr>
        <w:t>G</w:t>
      </w:r>
      <w:r w:rsidR="00CF152E" w:rsidRPr="00337281">
        <w:rPr>
          <w:sz w:val="20"/>
        </w:rPr>
        <w:t>odine</w:t>
      </w:r>
      <w:bookmarkEnd w:id="151"/>
      <w:r w:rsidR="00657A9D">
        <w:rPr>
          <w:sz w:val="20"/>
        </w:rPr>
        <w:t xml:space="preserve"> u KM</w:t>
      </w:r>
      <w:bookmarkEnd w:id="152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716"/>
        <w:gridCol w:w="1999"/>
        <w:gridCol w:w="1470"/>
        <w:gridCol w:w="930"/>
        <w:gridCol w:w="1321"/>
        <w:gridCol w:w="1321"/>
        <w:gridCol w:w="1321"/>
        <w:gridCol w:w="1324"/>
      </w:tblGrid>
      <w:tr w:rsidR="00657A9D" w:rsidRPr="00657A9D" w14:paraId="03025BDA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  <w:noWrap/>
            <w:hideMark/>
          </w:tcPr>
          <w:p w14:paraId="42B5957B" w14:textId="77777777" w:rsidR="00657A9D" w:rsidRPr="00657A9D" w:rsidRDefault="00657A9D" w:rsidP="00657A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R.B.</w:t>
            </w:r>
          </w:p>
        </w:tc>
        <w:tc>
          <w:tcPr>
            <w:tcW w:w="1999" w:type="dxa"/>
            <w:vMerge w:val="restart"/>
            <w:noWrap/>
            <w:hideMark/>
          </w:tcPr>
          <w:p w14:paraId="4B34791B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OPĆINA/GRAD</w:t>
            </w:r>
          </w:p>
        </w:tc>
        <w:tc>
          <w:tcPr>
            <w:tcW w:w="1470" w:type="dxa"/>
            <w:vMerge w:val="restart"/>
            <w:hideMark/>
          </w:tcPr>
          <w:p w14:paraId="3716F074" w14:textId="26B553CB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OSTVARENO 202</w:t>
            </w:r>
            <w:r w:rsidR="00F278CC">
              <w:rPr>
                <w:rFonts w:ascii="Calibri" w:hAnsi="Calibri" w:cs="Calibri"/>
                <w:color w:val="000000"/>
                <w:szCs w:val="22"/>
              </w:rPr>
              <w:t>5</w:t>
            </w:r>
            <w:r w:rsidRPr="00657A9D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930" w:type="dxa"/>
            <w:vMerge w:val="restart"/>
            <w:noWrap/>
            <w:hideMark/>
          </w:tcPr>
          <w:p w14:paraId="06135E59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UDIO</w:t>
            </w:r>
          </w:p>
        </w:tc>
        <w:tc>
          <w:tcPr>
            <w:tcW w:w="5287" w:type="dxa"/>
            <w:gridSpan w:val="4"/>
            <w:noWrap/>
            <w:hideMark/>
          </w:tcPr>
          <w:p w14:paraId="30172565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</w:tr>
      <w:tr w:rsidR="00657A9D" w:rsidRPr="00657A9D" w14:paraId="2270DB1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  <w:hideMark/>
          </w:tcPr>
          <w:p w14:paraId="0C8A6A9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99" w:type="dxa"/>
            <w:vMerge/>
            <w:hideMark/>
          </w:tcPr>
          <w:p w14:paraId="35285676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70" w:type="dxa"/>
            <w:vMerge/>
            <w:hideMark/>
          </w:tcPr>
          <w:p w14:paraId="6789C665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30" w:type="dxa"/>
            <w:vMerge/>
            <w:hideMark/>
          </w:tcPr>
          <w:p w14:paraId="2B8D03F8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21" w:type="dxa"/>
            <w:noWrap/>
            <w:hideMark/>
          </w:tcPr>
          <w:p w14:paraId="5BDE1935" w14:textId="15376E3F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F278CC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321" w:type="dxa"/>
            <w:noWrap/>
            <w:hideMark/>
          </w:tcPr>
          <w:p w14:paraId="7279F778" w14:textId="626FD0FF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F278CC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321" w:type="dxa"/>
            <w:noWrap/>
            <w:hideMark/>
          </w:tcPr>
          <w:p w14:paraId="4C17A20A" w14:textId="1CD85B46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F278CC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323" w:type="dxa"/>
            <w:noWrap/>
            <w:hideMark/>
          </w:tcPr>
          <w:p w14:paraId="41B045C1" w14:textId="29298032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F278CC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</w:tr>
      <w:tr w:rsidR="00657A9D" w:rsidRPr="00657A9D" w14:paraId="07CEC6B5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5E913933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999" w:type="dxa"/>
            <w:noWrap/>
            <w:hideMark/>
          </w:tcPr>
          <w:p w14:paraId="044C3671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70" w:type="dxa"/>
            <w:noWrap/>
            <w:hideMark/>
          </w:tcPr>
          <w:p w14:paraId="7AD14984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930" w:type="dxa"/>
            <w:noWrap/>
            <w:hideMark/>
          </w:tcPr>
          <w:p w14:paraId="49FE3D32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321" w:type="dxa"/>
            <w:noWrap/>
            <w:hideMark/>
          </w:tcPr>
          <w:p w14:paraId="397E84E6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321" w:type="dxa"/>
            <w:noWrap/>
            <w:hideMark/>
          </w:tcPr>
          <w:p w14:paraId="45BD4E4F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4(1*1,03)</w:t>
            </w:r>
          </w:p>
        </w:tc>
        <w:tc>
          <w:tcPr>
            <w:tcW w:w="1321" w:type="dxa"/>
            <w:noWrap/>
            <w:hideMark/>
          </w:tcPr>
          <w:p w14:paraId="0A7215FA" w14:textId="06DC3799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5(4*1,03</w:t>
            </w:r>
            <w:r w:rsidR="00007929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323" w:type="dxa"/>
            <w:noWrap/>
            <w:hideMark/>
          </w:tcPr>
          <w:p w14:paraId="55C1D32A" w14:textId="494DA86C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6(5*1,03</w:t>
            </w:r>
            <w:r w:rsidR="00007929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657A9D" w:rsidRPr="00657A9D" w14:paraId="1A4852A8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22A9B611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1999" w:type="dxa"/>
            <w:noWrap/>
            <w:hideMark/>
          </w:tcPr>
          <w:p w14:paraId="63BA7960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Livno</w:t>
            </w:r>
          </w:p>
        </w:tc>
        <w:tc>
          <w:tcPr>
            <w:tcW w:w="1470" w:type="dxa"/>
            <w:noWrap/>
            <w:hideMark/>
          </w:tcPr>
          <w:p w14:paraId="03CF317E" w14:textId="125F87B1" w:rsidR="00657A9D" w:rsidRPr="00657A9D" w:rsidRDefault="00D62E4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20.994.476</w:t>
            </w:r>
          </w:p>
        </w:tc>
        <w:tc>
          <w:tcPr>
            <w:tcW w:w="930" w:type="dxa"/>
            <w:noWrap/>
            <w:hideMark/>
          </w:tcPr>
          <w:p w14:paraId="3EAA6B8A" w14:textId="4FFDCCFD" w:rsidR="00657A9D" w:rsidRPr="00657A9D" w:rsidRDefault="009C2D2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  <w:r w:rsidR="00F278CC">
              <w:rPr>
                <w:rFonts w:ascii="Calibri" w:hAnsi="Calibri" w:cs="Calibri"/>
                <w:color w:val="000000"/>
                <w:szCs w:val="22"/>
              </w:rPr>
              <w:t>6,61</w:t>
            </w:r>
          </w:p>
        </w:tc>
        <w:tc>
          <w:tcPr>
            <w:tcW w:w="1321" w:type="dxa"/>
            <w:noWrap/>
            <w:hideMark/>
          </w:tcPr>
          <w:p w14:paraId="2AEC72E3" w14:textId="6ECA69B3" w:rsidR="00657A9D" w:rsidRPr="00657A9D" w:rsidRDefault="00D3066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23.588.748</w:t>
            </w:r>
          </w:p>
        </w:tc>
        <w:tc>
          <w:tcPr>
            <w:tcW w:w="1321" w:type="dxa"/>
            <w:noWrap/>
            <w:hideMark/>
          </w:tcPr>
          <w:p w14:paraId="4C003B91" w14:textId="4C3FB167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21.624.310</w:t>
            </w:r>
          </w:p>
        </w:tc>
        <w:tc>
          <w:tcPr>
            <w:tcW w:w="1321" w:type="dxa"/>
            <w:noWrap/>
            <w:hideMark/>
          </w:tcPr>
          <w:p w14:paraId="3FF9FFFE" w14:textId="6B1FFC28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22.294.66</w:t>
            </w: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323" w:type="dxa"/>
            <w:noWrap/>
            <w:hideMark/>
          </w:tcPr>
          <w:p w14:paraId="74DE96B3" w14:textId="7CA4C5CE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23.030.38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657A9D" w:rsidRPr="00657A9D" w14:paraId="4C0EB95B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6397B3CC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1999" w:type="dxa"/>
            <w:noWrap/>
            <w:hideMark/>
          </w:tcPr>
          <w:p w14:paraId="4DD97EDD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Tomislavgrad</w:t>
            </w:r>
          </w:p>
        </w:tc>
        <w:tc>
          <w:tcPr>
            <w:tcW w:w="1470" w:type="dxa"/>
            <w:noWrap/>
            <w:hideMark/>
          </w:tcPr>
          <w:p w14:paraId="2BE4B163" w14:textId="2C52CED8" w:rsidR="00657A9D" w:rsidRPr="00657A9D" w:rsidRDefault="00D62E4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19.797.236</w:t>
            </w:r>
          </w:p>
        </w:tc>
        <w:tc>
          <w:tcPr>
            <w:tcW w:w="930" w:type="dxa"/>
            <w:noWrap/>
            <w:hideMark/>
          </w:tcPr>
          <w:p w14:paraId="7F75F947" w14:textId="783DCFC5" w:rsidR="00657A9D" w:rsidRPr="00657A9D" w:rsidRDefault="00F278CC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34,52</w:t>
            </w:r>
          </w:p>
        </w:tc>
        <w:tc>
          <w:tcPr>
            <w:tcW w:w="1321" w:type="dxa"/>
            <w:noWrap/>
            <w:hideMark/>
          </w:tcPr>
          <w:p w14:paraId="6BE92295" w14:textId="49E956B3" w:rsidR="00657A9D" w:rsidRPr="00657A9D" w:rsidRDefault="00D3066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29.757.852</w:t>
            </w:r>
          </w:p>
        </w:tc>
        <w:tc>
          <w:tcPr>
            <w:tcW w:w="1321" w:type="dxa"/>
            <w:noWrap/>
            <w:hideMark/>
          </w:tcPr>
          <w:p w14:paraId="69E0AFD4" w14:textId="24B238EA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20.391.153</w:t>
            </w:r>
          </w:p>
        </w:tc>
        <w:tc>
          <w:tcPr>
            <w:tcW w:w="1321" w:type="dxa"/>
            <w:noWrap/>
            <w:hideMark/>
          </w:tcPr>
          <w:p w14:paraId="6BC64209" w14:textId="2EE03788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21.023.27</w:t>
            </w: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323" w:type="dxa"/>
            <w:noWrap/>
            <w:hideMark/>
          </w:tcPr>
          <w:p w14:paraId="2FE0544C" w14:textId="60BB76B1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21.717.047</w:t>
            </w:r>
          </w:p>
        </w:tc>
      </w:tr>
      <w:tr w:rsidR="00657A9D" w:rsidRPr="00657A9D" w14:paraId="685C157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6BE9B86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3.</w:t>
            </w:r>
          </w:p>
        </w:tc>
        <w:tc>
          <w:tcPr>
            <w:tcW w:w="1999" w:type="dxa"/>
            <w:noWrap/>
            <w:hideMark/>
          </w:tcPr>
          <w:p w14:paraId="0054AAFB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Drvar</w:t>
            </w:r>
          </w:p>
        </w:tc>
        <w:tc>
          <w:tcPr>
            <w:tcW w:w="1470" w:type="dxa"/>
            <w:noWrap/>
            <w:hideMark/>
          </w:tcPr>
          <w:p w14:paraId="4B300506" w14:textId="33DB943A" w:rsidR="00657A9D" w:rsidRPr="00657A9D" w:rsidRDefault="00D62E4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5.482.941</w:t>
            </w:r>
          </w:p>
        </w:tc>
        <w:tc>
          <w:tcPr>
            <w:tcW w:w="930" w:type="dxa"/>
            <w:noWrap/>
            <w:hideMark/>
          </w:tcPr>
          <w:p w14:paraId="0C3D869C" w14:textId="291FFDD2" w:rsidR="00657A9D" w:rsidRPr="00657A9D" w:rsidRDefault="009C2D22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9,</w:t>
            </w:r>
            <w:r w:rsidR="00F278CC">
              <w:rPr>
                <w:rFonts w:ascii="Calibri" w:hAnsi="Calibri" w:cs="Calibri"/>
                <w:color w:val="000000"/>
                <w:szCs w:val="22"/>
              </w:rPr>
              <w:t>56</w:t>
            </w:r>
          </w:p>
        </w:tc>
        <w:tc>
          <w:tcPr>
            <w:tcW w:w="1321" w:type="dxa"/>
            <w:noWrap/>
            <w:hideMark/>
          </w:tcPr>
          <w:p w14:paraId="2F61BEDA" w14:textId="4316F876" w:rsidR="00657A9D" w:rsidRPr="00657A9D" w:rsidRDefault="00D3066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5.804.000</w:t>
            </w:r>
          </w:p>
        </w:tc>
        <w:tc>
          <w:tcPr>
            <w:tcW w:w="1321" w:type="dxa"/>
            <w:noWrap/>
            <w:hideMark/>
          </w:tcPr>
          <w:p w14:paraId="53E3832A" w14:textId="508309C2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5.647.429</w:t>
            </w:r>
          </w:p>
        </w:tc>
        <w:tc>
          <w:tcPr>
            <w:tcW w:w="1321" w:type="dxa"/>
            <w:noWrap/>
            <w:hideMark/>
          </w:tcPr>
          <w:p w14:paraId="5A2BD785" w14:textId="7E04A8D9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5.822.</w:t>
            </w:r>
            <w:r>
              <w:rPr>
                <w:rFonts w:ascii="Calibri" w:hAnsi="Calibri" w:cs="Calibri"/>
                <w:color w:val="000000"/>
                <w:szCs w:val="22"/>
              </w:rPr>
              <w:t>500</w:t>
            </w:r>
          </w:p>
        </w:tc>
        <w:tc>
          <w:tcPr>
            <w:tcW w:w="1323" w:type="dxa"/>
            <w:noWrap/>
            <w:hideMark/>
          </w:tcPr>
          <w:p w14:paraId="5EF7ED6B" w14:textId="60BC6A3C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6.014.642</w:t>
            </w:r>
          </w:p>
        </w:tc>
      </w:tr>
      <w:tr w:rsidR="00657A9D" w:rsidRPr="00657A9D" w14:paraId="0F291016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2FB11A4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4.</w:t>
            </w:r>
          </w:p>
        </w:tc>
        <w:tc>
          <w:tcPr>
            <w:tcW w:w="1999" w:type="dxa"/>
            <w:noWrap/>
            <w:hideMark/>
          </w:tcPr>
          <w:p w14:paraId="384AD729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Bos.Grahovo</w:t>
            </w:r>
            <w:proofErr w:type="spellEnd"/>
          </w:p>
        </w:tc>
        <w:tc>
          <w:tcPr>
            <w:tcW w:w="1470" w:type="dxa"/>
            <w:noWrap/>
            <w:hideMark/>
          </w:tcPr>
          <w:p w14:paraId="2A2D1BE8" w14:textId="78DD89EF" w:rsidR="00657A9D" w:rsidRPr="00657A9D" w:rsidRDefault="00D62E4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2.212.651</w:t>
            </w:r>
          </w:p>
        </w:tc>
        <w:tc>
          <w:tcPr>
            <w:tcW w:w="930" w:type="dxa"/>
            <w:noWrap/>
            <w:hideMark/>
          </w:tcPr>
          <w:p w14:paraId="1F946F38" w14:textId="4549827C" w:rsidR="00657A9D" w:rsidRPr="00657A9D" w:rsidRDefault="00F278CC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3,86</w:t>
            </w:r>
          </w:p>
        </w:tc>
        <w:tc>
          <w:tcPr>
            <w:tcW w:w="1321" w:type="dxa"/>
            <w:noWrap/>
            <w:hideMark/>
          </w:tcPr>
          <w:p w14:paraId="1C7B8C51" w14:textId="659137E8" w:rsidR="00657A9D" w:rsidRPr="00657A9D" w:rsidRDefault="00D3066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3.803.350</w:t>
            </w:r>
          </w:p>
        </w:tc>
        <w:tc>
          <w:tcPr>
            <w:tcW w:w="1321" w:type="dxa"/>
            <w:noWrap/>
            <w:hideMark/>
          </w:tcPr>
          <w:p w14:paraId="4AC2B227" w14:textId="1F0EA643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2.185.30</w:t>
            </w: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321" w:type="dxa"/>
            <w:noWrap/>
            <w:hideMark/>
          </w:tcPr>
          <w:p w14:paraId="2A395AE2" w14:textId="0519A3D1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2.253.04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323" w:type="dxa"/>
            <w:noWrap/>
            <w:hideMark/>
          </w:tcPr>
          <w:p w14:paraId="75606C56" w14:textId="60804184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2.327.395</w:t>
            </w:r>
          </w:p>
        </w:tc>
      </w:tr>
      <w:tr w:rsidR="00657A9D" w:rsidRPr="00657A9D" w14:paraId="01A81A4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355AE4C0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5.</w:t>
            </w:r>
          </w:p>
        </w:tc>
        <w:tc>
          <w:tcPr>
            <w:tcW w:w="1999" w:type="dxa"/>
            <w:noWrap/>
            <w:hideMark/>
          </w:tcPr>
          <w:p w14:paraId="7B065B89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Glamoč</w:t>
            </w:r>
          </w:p>
        </w:tc>
        <w:tc>
          <w:tcPr>
            <w:tcW w:w="1470" w:type="dxa"/>
            <w:noWrap/>
            <w:hideMark/>
          </w:tcPr>
          <w:p w14:paraId="3DF2830B" w14:textId="2900AF8D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3.</w:t>
            </w:r>
            <w:r w:rsidR="00F278CC">
              <w:rPr>
                <w:rFonts w:ascii="Calibri" w:hAnsi="Calibri" w:cs="Calibri"/>
                <w:color w:val="000000"/>
                <w:szCs w:val="22"/>
              </w:rPr>
              <w:t>921.679</w:t>
            </w:r>
          </w:p>
        </w:tc>
        <w:tc>
          <w:tcPr>
            <w:tcW w:w="930" w:type="dxa"/>
            <w:noWrap/>
            <w:hideMark/>
          </w:tcPr>
          <w:p w14:paraId="1B9A029B" w14:textId="1C7C56F5" w:rsidR="00657A9D" w:rsidRPr="00657A9D" w:rsidRDefault="00F278CC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6,83</w:t>
            </w:r>
          </w:p>
        </w:tc>
        <w:tc>
          <w:tcPr>
            <w:tcW w:w="1321" w:type="dxa"/>
            <w:noWrap/>
            <w:hideMark/>
          </w:tcPr>
          <w:p w14:paraId="7E62C454" w14:textId="24B9FCFA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657A9D">
              <w:rPr>
                <w:rFonts w:ascii="Calibri" w:hAnsi="Calibri" w:cs="Calibri"/>
                <w:szCs w:val="22"/>
              </w:rPr>
              <w:t>4.</w:t>
            </w:r>
            <w:r w:rsidR="00D3066A">
              <w:rPr>
                <w:rFonts w:ascii="Calibri" w:hAnsi="Calibri" w:cs="Calibri"/>
                <w:szCs w:val="22"/>
              </w:rPr>
              <w:t>850.000</w:t>
            </w:r>
          </w:p>
        </w:tc>
        <w:tc>
          <w:tcPr>
            <w:tcW w:w="1321" w:type="dxa"/>
            <w:noWrap/>
            <w:hideMark/>
          </w:tcPr>
          <w:p w14:paraId="2E12CA6B" w14:textId="0A7F7998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4.039.329</w:t>
            </w:r>
          </w:p>
        </w:tc>
        <w:tc>
          <w:tcPr>
            <w:tcW w:w="1321" w:type="dxa"/>
            <w:noWrap/>
            <w:hideMark/>
          </w:tcPr>
          <w:p w14:paraId="21EC471C" w14:textId="1228996C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4.164.54</w:t>
            </w: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323" w:type="dxa"/>
            <w:noWrap/>
            <w:hideMark/>
          </w:tcPr>
          <w:p w14:paraId="0070C7A8" w14:textId="7F1A9EED" w:rsidR="00657A9D" w:rsidRPr="00657A9D" w:rsidRDefault="00A64785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4.301.97</w:t>
            </w: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</w:tr>
      <w:tr w:rsidR="00657A9D" w:rsidRPr="00657A9D" w14:paraId="5DE3EF8A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2904C9A5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6.</w:t>
            </w:r>
          </w:p>
        </w:tc>
        <w:tc>
          <w:tcPr>
            <w:tcW w:w="1999" w:type="dxa"/>
            <w:noWrap/>
            <w:hideMark/>
          </w:tcPr>
          <w:p w14:paraId="37B89897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Kupres</w:t>
            </w:r>
          </w:p>
        </w:tc>
        <w:tc>
          <w:tcPr>
            <w:tcW w:w="1470" w:type="dxa"/>
            <w:noWrap/>
            <w:hideMark/>
          </w:tcPr>
          <w:p w14:paraId="3FC2BBA6" w14:textId="1E9EEB72" w:rsidR="00657A9D" w:rsidRPr="00657A9D" w:rsidRDefault="00F278CC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4.942.504</w:t>
            </w:r>
          </w:p>
        </w:tc>
        <w:tc>
          <w:tcPr>
            <w:tcW w:w="930" w:type="dxa"/>
            <w:noWrap/>
            <w:hideMark/>
          </w:tcPr>
          <w:p w14:paraId="2CA5A8EC" w14:textId="0FBC767B" w:rsidR="00657A9D" w:rsidRPr="00657A9D" w:rsidRDefault="009C2D22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</w:t>
            </w:r>
            <w:r w:rsidR="00F278CC">
              <w:rPr>
                <w:rFonts w:ascii="Calibri" w:hAnsi="Calibri" w:cs="Calibri"/>
                <w:color w:val="000000"/>
                <w:szCs w:val="22"/>
              </w:rPr>
              <w:t>62</w:t>
            </w:r>
          </w:p>
        </w:tc>
        <w:tc>
          <w:tcPr>
            <w:tcW w:w="1321" w:type="dxa"/>
            <w:noWrap/>
            <w:hideMark/>
          </w:tcPr>
          <w:p w14:paraId="6A4E2280" w14:textId="6C7C9BC2" w:rsidR="00657A9D" w:rsidRPr="00657A9D" w:rsidRDefault="00D3066A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9.145.120</w:t>
            </w:r>
          </w:p>
        </w:tc>
        <w:tc>
          <w:tcPr>
            <w:tcW w:w="1321" w:type="dxa"/>
            <w:noWrap/>
            <w:hideMark/>
          </w:tcPr>
          <w:p w14:paraId="528E6E40" w14:textId="7F797218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5.090.779</w:t>
            </w:r>
          </w:p>
        </w:tc>
        <w:tc>
          <w:tcPr>
            <w:tcW w:w="1321" w:type="dxa"/>
            <w:noWrap/>
            <w:hideMark/>
          </w:tcPr>
          <w:p w14:paraId="3D2880B7" w14:textId="49D18FF6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5.248.593</w:t>
            </w:r>
          </w:p>
        </w:tc>
        <w:tc>
          <w:tcPr>
            <w:tcW w:w="1323" w:type="dxa"/>
            <w:noWrap/>
            <w:hideMark/>
          </w:tcPr>
          <w:p w14:paraId="55DEC2CC" w14:textId="6CFA1D5D" w:rsidR="00657A9D" w:rsidRPr="00657A9D" w:rsidRDefault="00A64785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A64785">
              <w:rPr>
                <w:rFonts w:ascii="Calibri" w:hAnsi="Calibri" w:cs="Calibri"/>
                <w:color w:val="000000"/>
                <w:szCs w:val="22"/>
              </w:rPr>
              <w:t>5.421.79</w:t>
            </w: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</w:tr>
      <w:tr w:rsidR="00657A9D" w:rsidRPr="00657A9D" w14:paraId="3785212E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noWrap/>
            <w:hideMark/>
          </w:tcPr>
          <w:p w14:paraId="0C695C66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7.</w:t>
            </w:r>
          </w:p>
        </w:tc>
        <w:tc>
          <w:tcPr>
            <w:tcW w:w="1999" w:type="dxa"/>
            <w:noWrap/>
            <w:hideMark/>
          </w:tcPr>
          <w:p w14:paraId="410A71AC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UKUPNO RASHODI</w:t>
            </w:r>
          </w:p>
        </w:tc>
        <w:tc>
          <w:tcPr>
            <w:tcW w:w="1470" w:type="dxa"/>
            <w:noWrap/>
            <w:hideMark/>
          </w:tcPr>
          <w:p w14:paraId="48B7AB4D" w14:textId="679AB962" w:rsidR="00657A9D" w:rsidRPr="00657A9D" w:rsidRDefault="00C62C4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57.351.487</w:t>
            </w:r>
          </w:p>
        </w:tc>
        <w:tc>
          <w:tcPr>
            <w:tcW w:w="930" w:type="dxa"/>
            <w:noWrap/>
            <w:hideMark/>
          </w:tcPr>
          <w:p w14:paraId="49337E51" w14:textId="77777777" w:rsidR="00657A9D" w:rsidRPr="00657A9D" w:rsidRDefault="00657A9D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321" w:type="dxa"/>
            <w:noWrap/>
            <w:hideMark/>
          </w:tcPr>
          <w:p w14:paraId="5781BEFE" w14:textId="4A7E56B5" w:rsidR="00657A9D" w:rsidRPr="00657A9D" w:rsidRDefault="00D3066A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76.949.070</w:t>
            </w:r>
          </w:p>
        </w:tc>
        <w:tc>
          <w:tcPr>
            <w:tcW w:w="1321" w:type="dxa"/>
            <w:noWrap/>
            <w:hideMark/>
          </w:tcPr>
          <w:p w14:paraId="278900C0" w14:textId="68275DBB" w:rsidR="00657A9D" w:rsidRPr="00657A9D" w:rsidRDefault="00C62C4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62C41">
              <w:rPr>
                <w:rFonts w:ascii="Calibri" w:hAnsi="Calibri" w:cs="Calibri"/>
                <w:b/>
                <w:bCs/>
                <w:color w:val="000000"/>
                <w:szCs w:val="22"/>
              </w:rPr>
              <w:t>59.072.031</w:t>
            </w:r>
          </w:p>
        </w:tc>
        <w:tc>
          <w:tcPr>
            <w:tcW w:w="1321" w:type="dxa"/>
            <w:noWrap/>
            <w:hideMark/>
          </w:tcPr>
          <w:p w14:paraId="4DEE7D7F" w14:textId="66FA7072" w:rsidR="00657A9D" w:rsidRPr="00657A9D" w:rsidRDefault="00C62C4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62C41">
              <w:rPr>
                <w:rFonts w:ascii="Calibri" w:hAnsi="Calibri" w:cs="Calibri"/>
                <w:b/>
                <w:bCs/>
                <w:color w:val="000000"/>
                <w:szCs w:val="22"/>
              </w:rPr>
              <w:t>60.903.264</w:t>
            </w:r>
          </w:p>
        </w:tc>
        <w:tc>
          <w:tcPr>
            <w:tcW w:w="1323" w:type="dxa"/>
            <w:noWrap/>
            <w:hideMark/>
          </w:tcPr>
          <w:p w14:paraId="5151505F" w14:textId="04E49505" w:rsidR="00657A9D" w:rsidRPr="00657A9D" w:rsidRDefault="00C62C4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62C41">
              <w:rPr>
                <w:rFonts w:ascii="Calibri" w:hAnsi="Calibri" w:cs="Calibri"/>
                <w:b/>
                <w:bCs/>
                <w:color w:val="000000"/>
                <w:szCs w:val="22"/>
              </w:rPr>
              <w:t>62.913.072</w:t>
            </w:r>
          </w:p>
        </w:tc>
      </w:tr>
    </w:tbl>
    <w:p w14:paraId="0956C54B" w14:textId="77777777" w:rsidR="00CF152E" w:rsidRDefault="00CF152E" w:rsidP="00CF152E"/>
    <w:p w14:paraId="60DB9115" w14:textId="77777777" w:rsidR="00CF152E" w:rsidRDefault="00CF152E" w:rsidP="00CF152E"/>
    <w:p w14:paraId="6259AD5E" w14:textId="77777777" w:rsidR="00CF152E" w:rsidRDefault="00CF152E" w:rsidP="00CF152E"/>
    <w:p w14:paraId="255CC7B7" w14:textId="47DC7890" w:rsidR="00CF152E" w:rsidRPr="0070095E" w:rsidRDefault="00CF152E" w:rsidP="00CF152E">
      <w:pPr>
        <w:ind w:firstLine="708"/>
        <w:jc w:val="both"/>
        <w:rPr>
          <w:sz w:val="24"/>
          <w:szCs w:val="24"/>
        </w:rPr>
      </w:pPr>
      <w:r w:rsidRPr="0070095E">
        <w:rPr>
          <w:sz w:val="24"/>
          <w:szCs w:val="24"/>
        </w:rPr>
        <w:t>Prema podacima iz završnog obračuna proračuna općina – Obrazac GIB, ukupno</w:t>
      </w:r>
      <w:r w:rsidR="00657A9D">
        <w:rPr>
          <w:sz w:val="24"/>
          <w:szCs w:val="24"/>
        </w:rPr>
        <w:t xml:space="preserve"> ostvareni prihodi općina u 202</w:t>
      </w:r>
      <w:r w:rsidR="002D6FE7">
        <w:rPr>
          <w:sz w:val="24"/>
          <w:szCs w:val="24"/>
        </w:rPr>
        <w:t>5</w:t>
      </w:r>
      <w:r w:rsidR="00657A9D">
        <w:rPr>
          <w:sz w:val="24"/>
          <w:szCs w:val="24"/>
        </w:rPr>
        <w:t xml:space="preserve">. godini iznose </w:t>
      </w:r>
      <w:r w:rsidR="002D6FE7">
        <w:rPr>
          <w:sz w:val="24"/>
          <w:szCs w:val="24"/>
        </w:rPr>
        <w:t>57.060.734</w:t>
      </w:r>
      <w:r w:rsidR="003D6C97">
        <w:rPr>
          <w:sz w:val="24"/>
          <w:szCs w:val="24"/>
        </w:rPr>
        <w:t>,00</w:t>
      </w:r>
      <w:r w:rsidRPr="0070095E">
        <w:rPr>
          <w:sz w:val="24"/>
          <w:szCs w:val="24"/>
        </w:rPr>
        <w:t xml:space="preserve"> KM, a ukupno ostvareni rashodi proračuna iznose </w:t>
      </w:r>
      <w:r w:rsidR="002D6FE7">
        <w:rPr>
          <w:sz w:val="24"/>
          <w:szCs w:val="24"/>
        </w:rPr>
        <w:t>57.351.487</w:t>
      </w:r>
      <w:r w:rsidR="003D6C97">
        <w:rPr>
          <w:sz w:val="24"/>
          <w:szCs w:val="24"/>
        </w:rPr>
        <w:t>,00</w:t>
      </w:r>
      <w:r w:rsidRPr="0070095E">
        <w:rPr>
          <w:sz w:val="24"/>
          <w:szCs w:val="24"/>
        </w:rPr>
        <w:t xml:space="preserve"> KM.</w:t>
      </w:r>
    </w:p>
    <w:p w14:paraId="736685C7" w14:textId="77777777" w:rsidR="00CF152E" w:rsidRPr="0070095E" w:rsidRDefault="00CF152E" w:rsidP="00CF152E">
      <w:pPr>
        <w:jc w:val="both"/>
        <w:rPr>
          <w:sz w:val="24"/>
          <w:szCs w:val="24"/>
        </w:rPr>
      </w:pPr>
    </w:p>
    <w:p w14:paraId="3F271C61" w14:textId="53F5AF24" w:rsidR="00CF152E" w:rsidRDefault="00CF152E" w:rsidP="00CF152E">
      <w:pPr>
        <w:ind w:firstLine="708"/>
        <w:jc w:val="both"/>
        <w:rPr>
          <w:sz w:val="24"/>
          <w:szCs w:val="24"/>
        </w:rPr>
      </w:pPr>
      <w:r w:rsidRPr="0070095E">
        <w:rPr>
          <w:sz w:val="24"/>
          <w:szCs w:val="24"/>
        </w:rPr>
        <w:t>U strukturi ostvarenog prihoda svih općina najveću stavku na</w:t>
      </w:r>
      <w:r w:rsidR="00AA6E91">
        <w:rPr>
          <w:sz w:val="24"/>
          <w:szCs w:val="24"/>
        </w:rPr>
        <w:t>lazimo na Grad Livno 3</w:t>
      </w:r>
      <w:r w:rsidR="002D6FE7">
        <w:rPr>
          <w:sz w:val="24"/>
          <w:szCs w:val="24"/>
        </w:rPr>
        <w:t>5,78</w:t>
      </w:r>
      <w:r w:rsidRPr="0070095E">
        <w:rPr>
          <w:sz w:val="24"/>
          <w:szCs w:val="24"/>
        </w:rPr>
        <w:t xml:space="preserve">% i </w:t>
      </w:r>
      <w:r w:rsidR="00616767">
        <w:rPr>
          <w:sz w:val="24"/>
          <w:szCs w:val="24"/>
        </w:rPr>
        <w:t>Općini Tomislavgrad</w:t>
      </w:r>
      <w:r w:rsidRPr="0070095E">
        <w:rPr>
          <w:sz w:val="24"/>
          <w:szCs w:val="24"/>
        </w:rPr>
        <w:t xml:space="preserve"> </w:t>
      </w:r>
      <w:r w:rsidR="00657A9D">
        <w:rPr>
          <w:sz w:val="24"/>
          <w:szCs w:val="24"/>
        </w:rPr>
        <w:t>3</w:t>
      </w:r>
      <w:r w:rsidR="003D6C97">
        <w:rPr>
          <w:sz w:val="24"/>
          <w:szCs w:val="24"/>
        </w:rPr>
        <w:t>2,</w:t>
      </w:r>
      <w:r w:rsidR="002D6FE7">
        <w:rPr>
          <w:sz w:val="24"/>
          <w:szCs w:val="24"/>
        </w:rPr>
        <w:t>85</w:t>
      </w:r>
      <w:r w:rsidR="00616767">
        <w:rPr>
          <w:sz w:val="24"/>
          <w:szCs w:val="24"/>
        </w:rPr>
        <w:t>% što ukupno čini  6</w:t>
      </w:r>
      <w:r w:rsidR="002D6FE7">
        <w:rPr>
          <w:sz w:val="24"/>
          <w:szCs w:val="24"/>
        </w:rPr>
        <w:t>8,63</w:t>
      </w:r>
      <w:r w:rsidRPr="0070095E">
        <w:rPr>
          <w:sz w:val="24"/>
          <w:szCs w:val="24"/>
        </w:rPr>
        <w:t>% ukupnih prihoda svih općina.</w:t>
      </w:r>
    </w:p>
    <w:p w14:paraId="5A787D18" w14:textId="77777777" w:rsidR="00CF152E" w:rsidRPr="0070095E" w:rsidRDefault="00CF152E" w:rsidP="00CF152E">
      <w:pPr>
        <w:ind w:firstLine="708"/>
        <w:jc w:val="both"/>
        <w:rPr>
          <w:sz w:val="24"/>
          <w:szCs w:val="24"/>
        </w:rPr>
      </w:pPr>
    </w:p>
    <w:p w14:paraId="5B63E2F9" w14:textId="4EF85646" w:rsidR="00CF152E" w:rsidRPr="0070095E" w:rsidRDefault="00CF152E" w:rsidP="00CF152E">
      <w:pPr>
        <w:ind w:firstLine="708"/>
        <w:jc w:val="both"/>
        <w:rPr>
          <w:sz w:val="24"/>
          <w:szCs w:val="24"/>
        </w:rPr>
      </w:pPr>
      <w:r w:rsidRPr="0070095E">
        <w:rPr>
          <w:sz w:val="24"/>
          <w:szCs w:val="24"/>
        </w:rPr>
        <w:t>U strukturi ostvarenih rashoda najveća stavka</w:t>
      </w:r>
      <w:r w:rsidR="000832E3">
        <w:rPr>
          <w:sz w:val="24"/>
          <w:szCs w:val="24"/>
        </w:rPr>
        <w:t xml:space="preserve"> </w:t>
      </w:r>
      <w:r w:rsidRPr="0070095E">
        <w:rPr>
          <w:sz w:val="24"/>
          <w:szCs w:val="24"/>
        </w:rPr>
        <w:t xml:space="preserve">se nalazi na </w:t>
      </w:r>
      <w:r w:rsidR="002107EB">
        <w:rPr>
          <w:sz w:val="24"/>
          <w:szCs w:val="24"/>
        </w:rPr>
        <w:t>grad</w:t>
      </w:r>
      <w:r w:rsidR="00616767">
        <w:rPr>
          <w:sz w:val="24"/>
          <w:szCs w:val="24"/>
        </w:rPr>
        <w:t xml:space="preserve"> </w:t>
      </w:r>
      <w:r w:rsidR="002D6FE7">
        <w:rPr>
          <w:sz w:val="24"/>
          <w:szCs w:val="24"/>
        </w:rPr>
        <w:t>Livno</w:t>
      </w:r>
      <w:r w:rsidRPr="0070095E">
        <w:rPr>
          <w:sz w:val="24"/>
          <w:szCs w:val="24"/>
        </w:rPr>
        <w:t xml:space="preserve"> </w:t>
      </w:r>
      <w:r w:rsidR="00657A9D">
        <w:rPr>
          <w:sz w:val="24"/>
          <w:szCs w:val="24"/>
        </w:rPr>
        <w:t>3</w:t>
      </w:r>
      <w:r w:rsidR="0079700D">
        <w:rPr>
          <w:sz w:val="24"/>
          <w:szCs w:val="24"/>
        </w:rPr>
        <w:t>6,61%</w:t>
      </w:r>
      <w:r w:rsidRPr="0070095E">
        <w:rPr>
          <w:sz w:val="24"/>
          <w:szCs w:val="24"/>
        </w:rPr>
        <w:t xml:space="preserve"> i </w:t>
      </w:r>
      <w:r w:rsidR="002107EB">
        <w:rPr>
          <w:sz w:val="24"/>
          <w:szCs w:val="24"/>
        </w:rPr>
        <w:t xml:space="preserve">općinu </w:t>
      </w:r>
      <w:r w:rsidR="002D6FE7">
        <w:rPr>
          <w:sz w:val="24"/>
          <w:szCs w:val="24"/>
        </w:rPr>
        <w:t>Tomislavgrad</w:t>
      </w:r>
      <w:r w:rsidRPr="0070095E">
        <w:rPr>
          <w:sz w:val="24"/>
          <w:szCs w:val="24"/>
        </w:rPr>
        <w:t xml:space="preserve"> </w:t>
      </w:r>
      <w:r w:rsidR="00657A9D">
        <w:rPr>
          <w:sz w:val="24"/>
          <w:szCs w:val="24"/>
        </w:rPr>
        <w:t>3</w:t>
      </w:r>
      <w:r w:rsidR="002D6FE7">
        <w:rPr>
          <w:sz w:val="24"/>
          <w:szCs w:val="24"/>
        </w:rPr>
        <w:t>4,52</w:t>
      </w:r>
      <w:r w:rsidR="0079700D">
        <w:rPr>
          <w:sz w:val="24"/>
          <w:szCs w:val="24"/>
        </w:rPr>
        <w:t>%</w:t>
      </w:r>
      <w:r w:rsidR="00657A9D">
        <w:rPr>
          <w:sz w:val="24"/>
          <w:szCs w:val="24"/>
        </w:rPr>
        <w:t xml:space="preserve"> što čini</w:t>
      </w:r>
      <w:r w:rsidR="00A01210">
        <w:rPr>
          <w:sz w:val="24"/>
          <w:szCs w:val="24"/>
        </w:rPr>
        <w:t xml:space="preserve"> 71,13</w:t>
      </w:r>
      <w:r w:rsidRPr="0070095E">
        <w:rPr>
          <w:sz w:val="24"/>
          <w:szCs w:val="24"/>
        </w:rPr>
        <w:t>% ukupnih rashoda svih općina.</w:t>
      </w:r>
    </w:p>
    <w:p w14:paraId="220761D2" w14:textId="77777777" w:rsidR="00CF152E" w:rsidRPr="0070095E" w:rsidRDefault="00CF152E" w:rsidP="00CF152E">
      <w:pPr>
        <w:jc w:val="both"/>
        <w:rPr>
          <w:sz w:val="24"/>
          <w:szCs w:val="24"/>
        </w:rPr>
      </w:pPr>
    </w:p>
    <w:p w14:paraId="10407654" w14:textId="6F6BCB39" w:rsidR="00603447" w:rsidRDefault="00CF152E" w:rsidP="00616767">
      <w:pPr>
        <w:ind w:firstLine="708"/>
        <w:jc w:val="both"/>
        <w:rPr>
          <w:sz w:val="24"/>
          <w:szCs w:val="24"/>
        </w:rPr>
      </w:pPr>
      <w:r w:rsidRPr="0070095E">
        <w:rPr>
          <w:sz w:val="24"/>
          <w:szCs w:val="24"/>
        </w:rPr>
        <w:t>Projekcija pri</w:t>
      </w:r>
      <w:r w:rsidR="00657A9D">
        <w:rPr>
          <w:sz w:val="24"/>
          <w:szCs w:val="24"/>
        </w:rPr>
        <w:t>hoda i rashoda za razdoblje 202</w:t>
      </w:r>
      <w:r w:rsidR="00A01210">
        <w:rPr>
          <w:sz w:val="24"/>
          <w:szCs w:val="24"/>
        </w:rPr>
        <w:t>7</w:t>
      </w:r>
      <w:r w:rsidRPr="0070095E">
        <w:rPr>
          <w:sz w:val="24"/>
          <w:szCs w:val="24"/>
        </w:rPr>
        <w:t>. – 202</w:t>
      </w:r>
      <w:r w:rsidR="00A01210">
        <w:rPr>
          <w:sz w:val="24"/>
          <w:szCs w:val="24"/>
        </w:rPr>
        <w:t>9</w:t>
      </w:r>
      <w:r w:rsidRPr="0070095E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Pr="0070095E">
        <w:rPr>
          <w:sz w:val="24"/>
          <w:szCs w:val="24"/>
        </w:rPr>
        <w:t>zvršena</w:t>
      </w:r>
      <w:r>
        <w:rPr>
          <w:sz w:val="24"/>
          <w:szCs w:val="24"/>
        </w:rPr>
        <w:t xml:space="preserve"> </w:t>
      </w:r>
      <w:r w:rsidR="00657A9D">
        <w:rPr>
          <w:sz w:val="24"/>
          <w:szCs w:val="24"/>
        </w:rPr>
        <w:t>je na temelju ostvarenja za 202</w:t>
      </w:r>
      <w:r w:rsidR="00DC78B1">
        <w:rPr>
          <w:sz w:val="24"/>
          <w:szCs w:val="24"/>
        </w:rPr>
        <w:t>5</w:t>
      </w:r>
      <w:r w:rsidRPr="0070095E">
        <w:rPr>
          <w:sz w:val="24"/>
          <w:szCs w:val="24"/>
        </w:rPr>
        <w:t>. godinu, korigirana postotkom rasta realnog BDP-a za Federaciju BiH, odnosno za Bosnu i Hercegovinu, sukladno Makroekonomskim prognozama Direkcije za ekonomsko planiranje (DEP-a).</w:t>
      </w:r>
    </w:p>
    <w:p w14:paraId="14084178" w14:textId="77777777" w:rsidR="00754CCC" w:rsidRDefault="00754CCC" w:rsidP="00754CCC">
      <w:pPr>
        <w:rPr>
          <w:lang w:val="bs-Latn-BA"/>
        </w:rPr>
      </w:pPr>
    </w:p>
    <w:p w14:paraId="1BC460FA" w14:textId="77777777" w:rsidR="00754CCC" w:rsidRPr="00877702" w:rsidRDefault="00754CCC" w:rsidP="00877702">
      <w:pPr>
        <w:rPr>
          <w:lang w:val="bs-Latn-BA"/>
        </w:rPr>
      </w:pPr>
    </w:p>
    <w:p w14:paraId="57C91C21" w14:textId="49612BA5" w:rsidR="00754CCC" w:rsidRPr="00877702" w:rsidRDefault="00877702" w:rsidP="00877702">
      <w:pPr>
        <w:pStyle w:val="Opisslike"/>
        <w:rPr>
          <w:sz w:val="24"/>
          <w:szCs w:val="24"/>
          <w:lang w:eastAsia="hr-HR"/>
        </w:rPr>
      </w:pPr>
      <w:bookmarkStart w:id="153" w:name="_Toc106179198"/>
      <w:bookmarkStart w:id="154" w:name="_Toc232407864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16</w:t>
      </w:r>
      <w:r w:rsidR="00D82381">
        <w:fldChar w:fldCharType="end"/>
      </w:r>
      <w:r>
        <w:t xml:space="preserve">. </w:t>
      </w:r>
      <w:r w:rsidR="00754CCC" w:rsidRPr="00877702">
        <w:t>Projekcija prihoda i rashoda Županiskog Zavoda za</w:t>
      </w:r>
      <w:r w:rsidR="00657A9D">
        <w:t xml:space="preserve"> upošljavanje za razdobljhe 202</w:t>
      </w:r>
      <w:r w:rsidR="00A01210">
        <w:t>7</w:t>
      </w:r>
      <w:r w:rsidR="00657A9D">
        <w:t>.-202</w:t>
      </w:r>
      <w:r w:rsidR="00A01210">
        <w:t>9</w:t>
      </w:r>
      <w:r w:rsidR="00754CCC" w:rsidRPr="00877702">
        <w:t xml:space="preserve">. </w:t>
      </w:r>
      <w:r w:rsidR="00657A9D">
        <w:t>g</w:t>
      </w:r>
      <w:r w:rsidR="00754CCC" w:rsidRPr="00877702">
        <w:t>odine</w:t>
      </w:r>
      <w:bookmarkEnd w:id="153"/>
      <w:r w:rsidR="00657A9D">
        <w:t xml:space="preserve"> u KM</w:t>
      </w:r>
      <w:bookmarkEnd w:id="154"/>
    </w:p>
    <w:tbl>
      <w:tblPr>
        <w:tblStyle w:val="Svijetlipopis-Isticanje11"/>
        <w:tblW w:w="9847" w:type="dxa"/>
        <w:jc w:val="center"/>
        <w:tblLook w:val="04A0" w:firstRow="1" w:lastRow="0" w:firstColumn="1" w:lastColumn="0" w:noHBand="0" w:noVBand="1"/>
      </w:tblPr>
      <w:tblGrid>
        <w:gridCol w:w="694"/>
        <w:gridCol w:w="2779"/>
        <w:gridCol w:w="1370"/>
        <w:gridCol w:w="1203"/>
        <w:gridCol w:w="1218"/>
        <w:gridCol w:w="1291"/>
        <w:gridCol w:w="1292"/>
      </w:tblGrid>
      <w:tr w:rsidR="00657A9D" w:rsidRPr="00657A9D" w14:paraId="60C48118" w14:textId="77777777" w:rsidTr="000C4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 w:val="restart"/>
            <w:noWrap/>
            <w:hideMark/>
          </w:tcPr>
          <w:p w14:paraId="5948F880" w14:textId="77777777" w:rsidR="00657A9D" w:rsidRPr="00657A9D" w:rsidRDefault="00657A9D" w:rsidP="00657A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R.B.</w:t>
            </w:r>
          </w:p>
        </w:tc>
        <w:tc>
          <w:tcPr>
            <w:tcW w:w="2779" w:type="dxa"/>
            <w:vMerge w:val="restart"/>
            <w:noWrap/>
            <w:hideMark/>
          </w:tcPr>
          <w:p w14:paraId="5F723086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ZAVOD ZA UPOŠLJAVANJE</w:t>
            </w:r>
          </w:p>
        </w:tc>
        <w:tc>
          <w:tcPr>
            <w:tcW w:w="1370" w:type="dxa"/>
            <w:vMerge w:val="restart"/>
            <w:hideMark/>
          </w:tcPr>
          <w:p w14:paraId="3ABC5F58" w14:textId="03701BF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657A9D">
              <w:rPr>
                <w:rFonts w:ascii="Calibri" w:hAnsi="Calibri" w:cs="Calibri"/>
                <w:color w:val="000000"/>
                <w:sz w:val="20"/>
              </w:rPr>
              <w:t>OSTVARENO 202</w:t>
            </w:r>
            <w:r w:rsidR="00A01210">
              <w:rPr>
                <w:rFonts w:ascii="Calibri" w:hAnsi="Calibri" w:cs="Calibri"/>
                <w:color w:val="000000"/>
                <w:sz w:val="20"/>
              </w:rPr>
              <w:t>5</w:t>
            </w:r>
            <w:r w:rsidRPr="00657A9D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004" w:type="dxa"/>
            <w:gridSpan w:val="4"/>
            <w:noWrap/>
            <w:hideMark/>
          </w:tcPr>
          <w:p w14:paraId="67A28490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</w:tr>
      <w:tr w:rsidR="00657A9D" w:rsidRPr="00657A9D" w14:paraId="3397A745" w14:textId="77777777" w:rsidTr="000C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vMerge/>
            <w:hideMark/>
          </w:tcPr>
          <w:p w14:paraId="6D996E6D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779" w:type="dxa"/>
            <w:vMerge/>
            <w:hideMark/>
          </w:tcPr>
          <w:p w14:paraId="322E3D57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70" w:type="dxa"/>
            <w:vMerge/>
            <w:hideMark/>
          </w:tcPr>
          <w:p w14:paraId="32F40241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03" w:type="dxa"/>
            <w:noWrap/>
            <w:hideMark/>
          </w:tcPr>
          <w:p w14:paraId="560754AC" w14:textId="7850FBC9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A01210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18" w:type="dxa"/>
            <w:noWrap/>
            <w:hideMark/>
          </w:tcPr>
          <w:p w14:paraId="72483B40" w14:textId="7F79322E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3308B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91" w:type="dxa"/>
            <w:noWrap/>
            <w:hideMark/>
          </w:tcPr>
          <w:p w14:paraId="5815EE40" w14:textId="42A4A0B8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3308B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91" w:type="dxa"/>
            <w:noWrap/>
            <w:hideMark/>
          </w:tcPr>
          <w:p w14:paraId="5C61EB95" w14:textId="35B30D95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3308B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</w:tr>
      <w:tr w:rsidR="00657A9D" w:rsidRPr="00657A9D" w14:paraId="378676AC" w14:textId="77777777" w:rsidTr="000C401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5BF8CA5F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779" w:type="dxa"/>
            <w:noWrap/>
            <w:hideMark/>
          </w:tcPr>
          <w:p w14:paraId="72788336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70" w:type="dxa"/>
            <w:noWrap/>
            <w:hideMark/>
          </w:tcPr>
          <w:p w14:paraId="144EB39E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203" w:type="dxa"/>
            <w:noWrap/>
            <w:hideMark/>
          </w:tcPr>
          <w:p w14:paraId="2A4D77C3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218" w:type="dxa"/>
            <w:noWrap/>
            <w:hideMark/>
          </w:tcPr>
          <w:p w14:paraId="78F832A0" w14:textId="26C76355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4(1*1,03)</w:t>
            </w:r>
          </w:p>
        </w:tc>
        <w:tc>
          <w:tcPr>
            <w:tcW w:w="1291" w:type="dxa"/>
            <w:noWrap/>
            <w:hideMark/>
          </w:tcPr>
          <w:p w14:paraId="64BB2C91" w14:textId="180E6409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5(4*1,03</w:t>
            </w:r>
            <w:r w:rsidR="0079700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91" w:type="dxa"/>
            <w:noWrap/>
            <w:hideMark/>
          </w:tcPr>
          <w:p w14:paraId="7BA9AE09" w14:textId="7B206D41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6(5*1,03</w:t>
            </w:r>
            <w:r w:rsidR="0079700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657A9D" w:rsidRPr="00657A9D" w14:paraId="6AACF870" w14:textId="77777777" w:rsidTr="000C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3C837170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2779" w:type="dxa"/>
            <w:noWrap/>
            <w:hideMark/>
          </w:tcPr>
          <w:p w14:paraId="19A39E12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PRIHODI</w:t>
            </w:r>
          </w:p>
        </w:tc>
        <w:tc>
          <w:tcPr>
            <w:tcW w:w="1370" w:type="dxa"/>
            <w:noWrap/>
            <w:hideMark/>
          </w:tcPr>
          <w:p w14:paraId="34F3DDD9" w14:textId="51648A63" w:rsidR="00657A9D" w:rsidRPr="00657A9D" w:rsidRDefault="00DC78B1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</w:t>
            </w:r>
            <w:r w:rsidR="000C4017">
              <w:rPr>
                <w:rFonts w:ascii="Calibri" w:hAnsi="Calibri" w:cs="Calibri"/>
                <w:color w:val="000000"/>
                <w:szCs w:val="22"/>
              </w:rPr>
              <w:t>795.890</w:t>
            </w:r>
          </w:p>
        </w:tc>
        <w:tc>
          <w:tcPr>
            <w:tcW w:w="1203" w:type="dxa"/>
            <w:noWrap/>
            <w:hideMark/>
          </w:tcPr>
          <w:p w14:paraId="0A92A859" w14:textId="046C7E59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5.764.200</w:t>
            </w:r>
          </w:p>
        </w:tc>
        <w:tc>
          <w:tcPr>
            <w:tcW w:w="1218" w:type="dxa"/>
            <w:noWrap/>
            <w:hideMark/>
          </w:tcPr>
          <w:p w14:paraId="375121FE" w14:textId="71AD1A0C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4.939.76</w:t>
            </w: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291" w:type="dxa"/>
            <w:noWrap/>
            <w:hideMark/>
          </w:tcPr>
          <w:p w14:paraId="3E91E7F0" w14:textId="16205C13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5.092.899</w:t>
            </w:r>
          </w:p>
        </w:tc>
        <w:tc>
          <w:tcPr>
            <w:tcW w:w="1291" w:type="dxa"/>
            <w:noWrap/>
            <w:hideMark/>
          </w:tcPr>
          <w:p w14:paraId="7E7BB3C8" w14:textId="319288FE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5.260.965</w:t>
            </w:r>
          </w:p>
        </w:tc>
      </w:tr>
      <w:tr w:rsidR="00657A9D" w:rsidRPr="00657A9D" w14:paraId="284E2F8B" w14:textId="77777777" w:rsidTr="000C401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noWrap/>
            <w:hideMark/>
          </w:tcPr>
          <w:p w14:paraId="08C3D967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2779" w:type="dxa"/>
            <w:noWrap/>
            <w:hideMark/>
          </w:tcPr>
          <w:p w14:paraId="5C77E96E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RASHODI</w:t>
            </w:r>
          </w:p>
        </w:tc>
        <w:tc>
          <w:tcPr>
            <w:tcW w:w="1370" w:type="dxa"/>
            <w:noWrap/>
            <w:hideMark/>
          </w:tcPr>
          <w:p w14:paraId="7F4316D2" w14:textId="2047EC45" w:rsidR="00657A9D" w:rsidRPr="00657A9D" w:rsidRDefault="00DC78B1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4.</w:t>
            </w:r>
            <w:r w:rsidR="000C4017">
              <w:rPr>
                <w:rFonts w:ascii="Calibri" w:hAnsi="Calibri" w:cs="Calibri"/>
                <w:color w:val="000000"/>
                <w:szCs w:val="22"/>
              </w:rPr>
              <w:t>695.275</w:t>
            </w:r>
          </w:p>
        </w:tc>
        <w:tc>
          <w:tcPr>
            <w:tcW w:w="1203" w:type="dxa"/>
            <w:noWrap/>
            <w:hideMark/>
          </w:tcPr>
          <w:p w14:paraId="4BCF6BC7" w14:textId="68D08F11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5.764.200</w:t>
            </w:r>
          </w:p>
        </w:tc>
        <w:tc>
          <w:tcPr>
            <w:tcW w:w="1218" w:type="dxa"/>
            <w:noWrap/>
            <w:hideMark/>
          </w:tcPr>
          <w:p w14:paraId="6F6683F0" w14:textId="70B36832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4.836.133</w:t>
            </w:r>
          </w:p>
        </w:tc>
        <w:tc>
          <w:tcPr>
            <w:tcW w:w="1291" w:type="dxa"/>
            <w:noWrap/>
            <w:hideMark/>
          </w:tcPr>
          <w:p w14:paraId="4AE07570" w14:textId="736A9F79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4.986.053</w:t>
            </w:r>
          </w:p>
        </w:tc>
        <w:tc>
          <w:tcPr>
            <w:tcW w:w="1291" w:type="dxa"/>
            <w:noWrap/>
            <w:hideMark/>
          </w:tcPr>
          <w:p w14:paraId="20062F38" w14:textId="1DBCC056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0C4017">
              <w:rPr>
                <w:rFonts w:ascii="Calibri" w:hAnsi="Calibri" w:cs="Calibri"/>
                <w:color w:val="000000"/>
                <w:szCs w:val="22"/>
              </w:rPr>
              <w:t>5.150.593</w:t>
            </w:r>
          </w:p>
        </w:tc>
      </w:tr>
    </w:tbl>
    <w:p w14:paraId="5A82A3D0" w14:textId="77777777" w:rsidR="00754CCC" w:rsidRDefault="00754CCC" w:rsidP="00754CCC">
      <w:pPr>
        <w:jc w:val="both"/>
        <w:rPr>
          <w:rFonts w:ascii="Arial" w:hAnsi="Arial" w:cs="Arial"/>
          <w:color w:val="000000"/>
          <w:szCs w:val="22"/>
          <w:lang w:eastAsia="hr-HR"/>
        </w:rPr>
      </w:pPr>
    </w:p>
    <w:p w14:paraId="60D344DE" w14:textId="77777777" w:rsidR="00754CCC" w:rsidRDefault="00754CCC" w:rsidP="00754CCC">
      <w:pPr>
        <w:jc w:val="both"/>
        <w:rPr>
          <w:rFonts w:ascii="Arial" w:hAnsi="Arial" w:cs="Arial"/>
          <w:color w:val="000000"/>
          <w:szCs w:val="22"/>
          <w:lang w:eastAsia="hr-HR"/>
        </w:rPr>
      </w:pPr>
    </w:p>
    <w:p w14:paraId="2405DE7A" w14:textId="1EC6D6E5" w:rsidR="00754CCC" w:rsidRPr="0070095E" w:rsidRDefault="00754CCC" w:rsidP="00754CCC">
      <w:pPr>
        <w:ind w:firstLine="708"/>
        <w:jc w:val="both"/>
        <w:rPr>
          <w:color w:val="000000"/>
          <w:sz w:val="24"/>
          <w:szCs w:val="24"/>
          <w:lang w:eastAsia="hr-HR"/>
        </w:rPr>
      </w:pPr>
      <w:r w:rsidRPr="0070095E">
        <w:rPr>
          <w:color w:val="000000"/>
          <w:sz w:val="24"/>
          <w:szCs w:val="24"/>
          <w:lang w:eastAsia="hr-HR"/>
        </w:rPr>
        <w:t>Kako je očito,</w:t>
      </w:r>
      <w:r w:rsidR="002107EB">
        <w:rPr>
          <w:color w:val="000000"/>
          <w:sz w:val="24"/>
          <w:szCs w:val="24"/>
          <w:lang w:eastAsia="hr-HR"/>
        </w:rPr>
        <w:t xml:space="preserve"> </w:t>
      </w:r>
      <w:r w:rsidRPr="0070095E">
        <w:rPr>
          <w:color w:val="000000"/>
          <w:sz w:val="24"/>
          <w:szCs w:val="24"/>
          <w:lang w:eastAsia="hr-HR"/>
        </w:rPr>
        <w:t>da je financijski plan Županijsk</w:t>
      </w:r>
      <w:r w:rsidR="00657A9D">
        <w:rPr>
          <w:color w:val="000000"/>
          <w:sz w:val="24"/>
          <w:szCs w:val="24"/>
          <w:lang w:eastAsia="hr-HR"/>
        </w:rPr>
        <w:t>og zavoda za upošljavanje u 202</w:t>
      </w:r>
      <w:r w:rsidR="000C4017">
        <w:rPr>
          <w:color w:val="000000"/>
          <w:sz w:val="24"/>
          <w:szCs w:val="24"/>
          <w:lang w:eastAsia="hr-HR"/>
        </w:rPr>
        <w:t>6</w:t>
      </w:r>
      <w:r w:rsidRPr="0070095E">
        <w:rPr>
          <w:color w:val="000000"/>
          <w:sz w:val="24"/>
          <w:szCs w:val="24"/>
          <w:lang w:eastAsia="hr-HR"/>
        </w:rPr>
        <w:t>.g., veći od iz</w:t>
      </w:r>
      <w:r w:rsidR="00657A9D">
        <w:rPr>
          <w:color w:val="000000"/>
          <w:sz w:val="24"/>
          <w:szCs w:val="24"/>
          <w:lang w:eastAsia="hr-HR"/>
        </w:rPr>
        <w:t>vršenja prihoda i rashoda u 202</w:t>
      </w:r>
      <w:r w:rsidR="000C4017">
        <w:rPr>
          <w:color w:val="000000"/>
          <w:sz w:val="24"/>
          <w:szCs w:val="24"/>
          <w:lang w:eastAsia="hr-HR"/>
        </w:rPr>
        <w:t>5</w:t>
      </w:r>
      <w:r w:rsidRPr="0070095E">
        <w:rPr>
          <w:color w:val="000000"/>
          <w:sz w:val="24"/>
          <w:szCs w:val="24"/>
          <w:lang w:eastAsia="hr-HR"/>
        </w:rPr>
        <w:t xml:space="preserve">.g., te smo sukladno </w:t>
      </w:r>
      <w:r w:rsidR="002107EB">
        <w:rPr>
          <w:color w:val="000000"/>
          <w:sz w:val="24"/>
          <w:szCs w:val="24"/>
          <w:lang w:eastAsia="hr-HR"/>
        </w:rPr>
        <w:t>revidiranim</w:t>
      </w:r>
      <w:r w:rsidRPr="0070095E">
        <w:rPr>
          <w:color w:val="000000"/>
          <w:sz w:val="24"/>
          <w:szCs w:val="24"/>
          <w:lang w:eastAsia="hr-HR"/>
        </w:rPr>
        <w:t xml:space="preserve"> projekcijama </w:t>
      </w:r>
      <w:r w:rsidR="002107EB">
        <w:rPr>
          <w:color w:val="000000"/>
          <w:sz w:val="24"/>
          <w:szCs w:val="24"/>
          <w:lang w:eastAsia="hr-HR"/>
        </w:rPr>
        <w:t>Federalnog ministarstva financija za period 2027-2029</w:t>
      </w:r>
      <w:r w:rsidR="00B04F80">
        <w:rPr>
          <w:color w:val="000000"/>
          <w:sz w:val="24"/>
          <w:szCs w:val="24"/>
          <w:lang w:eastAsia="hr-HR"/>
        </w:rPr>
        <w:t xml:space="preserve"> br. 05-12-5-3976/26-1 od 14.05.2026. godine</w:t>
      </w:r>
      <w:r w:rsidRPr="0070095E">
        <w:rPr>
          <w:color w:val="000000"/>
          <w:sz w:val="24"/>
          <w:szCs w:val="24"/>
          <w:lang w:eastAsia="hr-HR"/>
        </w:rPr>
        <w:t xml:space="preserve">, izvršili procjenu na </w:t>
      </w:r>
      <w:r w:rsidR="00CE3900">
        <w:rPr>
          <w:color w:val="000000"/>
          <w:sz w:val="24"/>
          <w:szCs w:val="24"/>
          <w:lang w:eastAsia="hr-HR"/>
        </w:rPr>
        <w:t xml:space="preserve">bazi realnog rasta BDP-a </w:t>
      </w:r>
      <w:r w:rsidR="00657A9D">
        <w:rPr>
          <w:color w:val="000000"/>
          <w:sz w:val="24"/>
          <w:szCs w:val="24"/>
          <w:lang w:eastAsia="hr-HR"/>
        </w:rPr>
        <w:t>za srednjoročno razdoblje 202</w:t>
      </w:r>
      <w:r w:rsidR="00A01210">
        <w:rPr>
          <w:color w:val="000000"/>
          <w:sz w:val="24"/>
          <w:szCs w:val="24"/>
          <w:lang w:eastAsia="hr-HR"/>
        </w:rPr>
        <w:t>7</w:t>
      </w:r>
      <w:r w:rsidR="00657A9D">
        <w:rPr>
          <w:color w:val="000000"/>
          <w:sz w:val="24"/>
          <w:szCs w:val="24"/>
          <w:lang w:eastAsia="hr-HR"/>
        </w:rPr>
        <w:t>.-202</w:t>
      </w:r>
      <w:r w:rsidR="00A01210">
        <w:rPr>
          <w:color w:val="000000"/>
          <w:sz w:val="24"/>
          <w:szCs w:val="24"/>
          <w:lang w:eastAsia="hr-HR"/>
        </w:rPr>
        <w:t>9</w:t>
      </w:r>
      <w:r w:rsidR="00657A9D">
        <w:rPr>
          <w:color w:val="000000"/>
          <w:sz w:val="24"/>
          <w:szCs w:val="24"/>
          <w:lang w:eastAsia="hr-HR"/>
        </w:rPr>
        <w:t>. godine po prosječnoj stopi rasta.</w:t>
      </w:r>
    </w:p>
    <w:p w14:paraId="1034C265" w14:textId="77777777" w:rsidR="00754CCC" w:rsidRDefault="00754CCC" w:rsidP="00754CCC">
      <w:pPr>
        <w:jc w:val="both"/>
        <w:rPr>
          <w:rFonts w:ascii="Arial" w:hAnsi="Arial" w:cs="Arial"/>
          <w:color w:val="000000"/>
          <w:szCs w:val="22"/>
          <w:lang w:eastAsia="hr-HR"/>
        </w:rPr>
      </w:pPr>
    </w:p>
    <w:p w14:paraId="53124886" w14:textId="77777777" w:rsidR="00754CCC" w:rsidRDefault="00754CCC" w:rsidP="00877702">
      <w:pPr>
        <w:rPr>
          <w:lang w:eastAsia="hr-HR"/>
        </w:rPr>
      </w:pPr>
    </w:p>
    <w:p w14:paraId="7F75207B" w14:textId="7895781E" w:rsidR="00754CCC" w:rsidRPr="00337281" w:rsidRDefault="00877702" w:rsidP="00877702">
      <w:pPr>
        <w:pStyle w:val="Opisslike"/>
        <w:rPr>
          <w:sz w:val="20"/>
          <w:lang w:eastAsia="hr-HR"/>
        </w:rPr>
      </w:pPr>
      <w:bookmarkStart w:id="155" w:name="_Toc106179199"/>
      <w:bookmarkStart w:id="156" w:name="_Toc232407865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17</w:t>
      </w:r>
      <w:r w:rsidR="00D82381">
        <w:fldChar w:fldCharType="end"/>
      </w:r>
      <w:r w:rsidR="00140849">
        <w:t xml:space="preserve">. </w:t>
      </w:r>
      <w:r w:rsidR="00754CCC" w:rsidRPr="00337281">
        <w:t>Projekcija prihoda i rashoda Županiskog Zavoda za zdravstveno osiguranje z</w:t>
      </w:r>
      <w:r w:rsidR="00657A9D">
        <w:t>a razdoblje 202</w:t>
      </w:r>
      <w:r w:rsidR="000C4017">
        <w:t>7</w:t>
      </w:r>
      <w:r w:rsidR="00657A9D">
        <w:t>-202</w:t>
      </w:r>
      <w:r w:rsidR="000C4017">
        <w:t>9</w:t>
      </w:r>
      <w:r w:rsidR="00754CCC" w:rsidRPr="00337281">
        <w:t xml:space="preserve">. </w:t>
      </w:r>
      <w:r w:rsidR="008A0B79">
        <w:t>g</w:t>
      </w:r>
      <w:r w:rsidR="00754CCC" w:rsidRPr="00337281">
        <w:t>odine</w:t>
      </w:r>
      <w:bookmarkEnd w:id="155"/>
      <w:r w:rsidR="00657A9D">
        <w:t xml:space="preserve"> u KM</w:t>
      </w:r>
      <w:bookmarkEnd w:id="156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680"/>
        <w:gridCol w:w="2718"/>
        <w:gridCol w:w="1341"/>
        <w:gridCol w:w="1296"/>
        <w:gridCol w:w="1296"/>
        <w:gridCol w:w="1296"/>
        <w:gridCol w:w="1296"/>
      </w:tblGrid>
      <w:tr w:rsidR="00657A9D" w:rsidRPr="00657A9D" w14:paraId="0D1E8CE5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noWrap/>
            <w:hideMark/>
          </w:tcPr>
          <w:p w14:paraId="4B6C0CCA" w14:textId="77777777" w:rsidR="00657A9D" w:rsidRPr="00657A9D" w:rsidRDefault="00657A9D" w:rsidP="00657A9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R.B.</w:t>
            </w:r>
          </w:p>
        </w:tc>
        <w:tc>
          <w:tcPr>
            <w:tcW w:w="2661" w:type="dxa"/>
            <w:vMerge w:val="restart"/>
            <w:noWrap/>
            <w:hideMark/>
          </w:tcPr>
          <w:p w14:paraId="0B336FD6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ZAVOD ZA ZDRAV.OSIG.</w:t>
            </w:r>
          </w:p>
        </w:tc>
        <w:tc>
          <w:tcPr>
            <w:tcW w:w="1313" w:type="dxa"/>
            <w:vMerge w:val="restart"/>
            <w:hideMark/>
          </w:tcPr>
          <w:p w14:paraId="4F561F09" w14:textId="529A9676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657A9D">
              <w:rPr>
                <w:rFonts w:ascii="Calibri" w:hAnsi="Calibri" w:cs="Calibri"/>
                <w:color w:val="000000"/>
                <w:sz w:val="20"/>
              </w:rPr>
              <w:t>OSTVARENO 202</w:t>
            </w:r>
            <w:r w:rsidR="000C4017">
              <w:rPr>
                <w:rFonts w:ascii="Calibri" w:hAnsi="Calibri" w:cs="Calibri"/>
                <w:color w:val="000000"/>
                <w:sz w:val="20"/>
              </w:rPr>
              <w:t>5</w:t>
            </w:r>
            <w:r w:rsidRPr="00657A9D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5074" w:type="dxa"/>
            <w:gridSpan w:val="4"/>
            <w:noWrap/>
            <w:hideMark/>
          </w:tcPr>
          <w:p w14:paraId="35F1823F" w14:textId="77777777" w:rsidR="00657A9D" w:rsidRPr="00657A9D" w:rsidRDefault="00657A9D" w:rsidP="00657A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</w:tr>
      <w:tr w:rsidR="00657A9D" w:rsidRPr="00657A9D" w14:paraId="7871055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hideMark/>
          </w:tcPr>
          <w:p w14:paraId="680FF725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61" w:type="dxa"/>
            <w:vMerge/>
            <w:hideMark/>
          </w:tcPr>
          <w:p w14:paraId="47892AFF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313" w:type="dxa"/>
            <w:vMerge/>
            <w:hideMark/>
          </w:tcPr>
          <w:p w14:paraId="74434955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69" w:type="dxa"/>
            <w:noWrap/>
            <w:hideMark/>
          </w:tcPr>
          <w:p w14:paraId="546133C5" w14:textId="6276576F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C4017">
              <w:rPr>
                <w:rFonts w:ascii="Calibri" w:hAnsi="Calibri" w:cs="Calibri"/>
                <w:b/>
                <w:bCs/>
                <w:color w:val="000000"/>
                <w:szCs w:val="22"/>
              </w:rPr>
              <w:t>6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69" w:type="dxa"/>
            <w:noWrap/>
            <w:hideMark/>
          </w:tcPr>
          <w:p w14:paraId="300BEA01" w14:textId="6C7BAABC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C4017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69" w:type="dxa"/>
            <w:noWrap/>
            <w:hideMark/>
          </w:tcPr>
          <w:p w14:paraId="541CEF3F" w14:textId="6565742D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C4017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269" w:type="dxa"/>
            <w:noWrap/>
            <w:hideMark/>
          </w:tcPr>
          <w:p w14:paraId="75131747" w14:textId="6BA6513C" w:rsidR="00657A9D" w:rsidRPr="00657A9D" w:rsidRDefault="00657A9D" w:rsidP="00657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0C4017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</w:tr>
      <w:tr w:rsidR="00657A9D" w:rsidRPr="00657A9D" w14:paraId="1DD937A3" w14:textId="77777777" w:rsidTr="0082227C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14:paraId="22E7A351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661" w:type="dxa"/>
            <w:noWrap/>
            <w:hideMark/>
          </w:tcPr>
          <w:p w14:paraId="2B712EDF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313" w:type="dxa"/>
            <w:noWrap/>
            <w:hideMark/>
          </w:tcPr>
          <w:p w14:paraId="301FEFB0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269" w:type="dxa"/>
            <w:noWrap/>
            <w:hideMark/>
          </w:tcPr>
          <w:p w14:paraId="543B0223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269" w:type="dxa"/>
            <w:noWrap/>
            <w:hideMark/>
          </w:tcPr>
          <w:p w14:paraId="76CDD253" w14:textId="777777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4(1*1,03)</w:t>
            </w:r>
          </w:p>
        </w:tc>
        <w:tc>
          <w:tcPr>
            <w:tcW w:w="1269" w:type="dxa"/>
            <w:noWrap/>
            <w:hideMark/>
          </w:tcPr>
          <w:p w14:paraId="510AC3A5" w14:textId="260C5B77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5(4*1,03</w:t>
            </w:r>
            <w:r w:rsidR="0079700D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269" w:type="dxa"/>
            <w:noWrap/>
            <w:hideMark/>
          </w:tcPr>
          <w:p w14:paraId="250076C5" w14:textId="431D99A8" w:rsidR="00657A9D" w:rsidRPr="00657A9D" w:rsidRDefault="00657A9D" w:rsidP="00657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6(5*1,03</w:t>
            </w:r>
            <w:r w:rsidR="0079700D"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657A9D" w:rsidRPr="00657A9D" w14:paraId="1CB10466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14:paraId="31383A6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1.</w:t>
            </w:r>
          </w:p>
        </w:tc>
        <w:tc>
          <w:tcPr>
            <w:tcW w:w="2661" w:type="dxa"/>
            <w:noWrap/>
            <w:hideMark/>
          </w:tcPr>
          <w:p w14:paraId="5525B1F3" w14:textId="77777777" w:rsidR="00657A9D" w:rsidRPr="00657A9D" w:rsidRDefault="00657A9D" w:rsidP="0065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PRIHODI</w:t>
            </w:r>
          </w:p>
        </w:tc>
        <w:tc>
          <w:tcPr>
            <w:tcW w:w="1313" w:type="dxa"/>
            <w:noWrap/>
            <w:hideMark/>
          </w:tcPr>
          <w:p w14:paraId="22288F05" w14:textId="5157D832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51.819.541</w:t>
            </w:r>
          </w:p>
        </w:tc>
        <w:tc>
          <w:tcPr>
            <w:tcW w:w="1269" w:type="dxa"/>
            <w:noWrap/>
            <w:hideMark/>
          </w:tcPr>
          <w:p w14:paraId="09038132" w14:textId="5B704C73" w:rsidR="00657A9D" w:rsidRPr="00657A9D" w:rsidRDefault="000C4017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54.703.734</w:t>
            </w:r>
          </w:p>
        </w:tc>
        <w:tc>
          <w:tcPr>
            <w:tcW w:w="1269" w:type="dxa"/>
            <w:noWrap/>
            <w:hideMark/>
          </w:tcPr>
          <w:p w14:paraId="66800E7D" w14:textId="74C6CC58" w:rsidR="00657A9D" w:rsidRPr="00657A9D" w:rsidRDefault="00EB27F0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53.374.127</w:t>
            </w:r>
          </w:p>
        </w:tc>
        <w:tc>
          <w:tcPr>
            <w:tcW w:w="1269" w:type="dxa"/>
            <w:noWrap/>
            <w:hideMark/>
          </w:tcPr>
          <w:p w14:paraId="59B8BB82" w14:textId="144E0914" w:rsidR="00657A9D" w:rsidRPr="00657A9D" w:rsidRDefault="00EB27F0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55.028.725</w:t>
            </w:r>
          </w:p>
        </w:tc>
        <w:tc>
          <w:tcPr>
            <w:tcW w:w="1269" w:type="dxa"/>
            <w:noWrap/>
            <w:hideMark/>
          </w:tcPr>
          <w:p w14:paraId="1EFE4BDC" w14:textId="358A6D82" w:rsidR="00657A9D" w:rsidRPr="00657A9D" w:rsidRDefault="00EB27F0" w:rsidP="00657A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56.844.673</w:t>
            </w:r>
          </w:p>
        </w:tc>
      </w:tr>
      <w:tr w:rsidR="00657A9D" w:rsidRPr="00657A9D" w14:paraId="1C75BA6C" w14:textId="77777777" w:rsidTr="0082227C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14:paraId="4E028FDA" w14:textId="77777777" w:rsidR="00657A9D" w:rsidRPr="00657A9D" w:rsidRDefault="00657A9D" w:rsidP="00657A9D">
            <w:pPr>
              <w:rPr>
                <w:rFonts w:ascii="Calibri" w:hAnsi="Calibri" w:cs="Calibri"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color w:val="000000"/>
                <w:szCs w:val="22"/>
              </w:rPr>
              <w:t>2.</w:t>
            </w:r>
          </w:p>
        </w:tc>
        <w:tc>
          <w:tcPr>
            <w:tcW w:w="2661" w:type="dxa"/>
            <w:noWrap/>
            <w:hideMark/>
          </w:tcPr>
          <w:p w14:paraId="53556D05" w14:textId="77777777" w:rsidR="00657A9D" w:rsidRPr="00657A9D" w:rsidRDefault="00657A9D" w:rsidP="00657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57A9D">
              <w:rPr>
                <w:rFonts w:ascii="Calibri" w:hAnsi="Calibri" w:cs="Calibri"/>
                <w:b/>
                <w:bCs/>
                <w:color w:val="000000"/>
                <w:szCs w:val="22"/>
              </w:rPr>
              <w:t>RASHODI</w:t>
            </w:r>
          </w:p>
        </w:tc>
        <w:tc>
          <w:tcPr>
            <w:tcW w:w="1313" w:type="dxa"/>
            <w:noWrap/>
            <w:hideMark/>
          </w:tcPr>
          <w:p w14:paraId="0F4435F5" w14:textId="6AFFAC29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47.736.474</w:t>
            </w:r>
          </w:p>
        </w:tc>
        <w:tc>
          <w:tcPr>
            <w:tcW w:w="1269" w:type="dxa"/>
            <w:noWrap/>
            <w:hideMark/>
          </w:tcPr>
          <w:p w14:paraId="46D6A303" w14:textId="4C721935" w:rsidR="00657A9D" w:rsidRPr="00657A9D" w:rsidRDefault="000C4017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54.703.734</w:t>
            </w:r>
          </w:p>
        </w:tc>
        <w:tc>
          <w:tcPr>
            <w:tcW w:w="1269" w:type="dxa"/>
            <w:noWrap/>
            <w:hideMark/>
          </w:tcPr>
          <w:p w14:paraId="33388DF8" w14:textId="2EDB9209" w:rsidR="00657A9D" w:rsidRPr="00657A9D" w:rsidRDefault="00EB27F0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49.168.568</w:t>
            </w:r>
          </w:p>
        </w:tc>
        <w:tc>
          <w:tcPr>
            <w:tcW w:w="1269" w:type="dxa"/>
            <w:noWrap/>
            <w:hideMark/>
          </w:tcPr>
          <w:p w14:paraId="1BAB41CE" w14:textId="25E5D89B" w:rsidR="00657A9D" w:rsidRPr="00657A9D" w:rsidRDefault="00EB27F0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50.692.79</w:t>
            </w: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269" w:type="dxa"/>
            <w:noWrap/>
            <w:hideMark/>
          </w:tcPr>
          <w:p w14:paraId="14084618" w14:textId="6A8F89E5" w:rsidR="00657A9D" w:rsidRPr="00657A9D" w:rsidRDefault="00EB27F0" w:rsidP="00657A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27F0">
              <w:rPr>
                <w:rFonts w:ascii="Calibri" w:hAnsi="Calibri" w:cs="Calibri"/>
                <w:color w:val="000000"/>
                <w:szCs w:val="22"/>
              </w:rPr>
              <w:t>52.365.656</w:t>
            </w:r>
          </w:p>
        </w:tc>
      </w:tr>
    </w:tbl>
    <w:p w14:paraId="6B7D8172" w14:textId="77777777" w:rsidR="00754CCC" w:rsidRPr="00810202" w:rsidRDefault="00754CCC" w:rsidP="00754CCC">
      <w:pPr>
        <w:jc w:val="both"/>
        <w:rPr>
          <w:rFonts w:ascii="Arial" w:hAnsi="Arial" w:cs="Arial"/>
          <w:color w:val="000000"/>
          <w:szCs w:val="22"/>
          <w:lang w:eastAsia="hr-HR"/>
        </w:rPr>
      </w:pPr>
    </w:p>
    <w:p w14:paraId="48DBE5CE" w14:textId="77777777" w:rsidR="00754CCC" w:rsidRDefault="00754CCC" w:rsidP="00754CCC">
      <w:pPr>
        <w:jc w:val="both"/>
        <w:rPr>
          <w:rFonts w:ascii="Arial" w:hAnsi="Arial" w:cs="Arial"/>
          <w:bCs/>
          <w:color w:val="000000"/>
          <w:szCs w:val="22"/>
          <w:lang w:eastAsia="hr-HR"/>
        </w:rPr>
      </w:pPr>
    </w:p>
    <w:p w14:paraId="370BDF30" w14:textId="197B2D52" w:rsidR="00754CCC" w:rsidRDefault="00754CCC" w:rsidP="00754CCC">
      <w:pPr>
        <w:ind w:firstLine="708"/>
        <w:jc w:val="both"/>
        <w:rPr>
          <w:bCs/>
          <w:color w:val="000000"/>
          <w:sz w:val="24"/>
          <w:szCs w:val="24"/>
          <w:lang w:eastAsia="hr-HR"/>
        </w:rPr>
      </w:pPr>
      <w:r w:rsidRPr="0070095E">
        <w:rPr>
          <w:bCs/>
          <w:color w:val="000000"/>
          <w:sz w:val="24"/>
          <w:szCs w:val="24"/>
          <w:lang w:eastAsia="hr-HR"/>
        </w:rPr>
        <w:t xml:space="preserve">Ukupno ostvareni prihodi Županijskog zavoda </w:t>
      </w:r>
      <w:r w:rsidR="00CE3900">
        <w:rPr>
          <w:bCs/>
          <w:color w:val="000000"/>
          <w:sz w:val="24"/>
          <w:szCs w:val="24"/>
          <w:lang w:eastAsia="hr-HR"/>
        </w:rPr>
        <w:t xml:space="preserve">za zdravstveno </w:t>
      </w:r>
      <w:r w:rsidR="00657A9D">
        <w:rPr>
          <w:bCs/>
          <w:color w:val="000000"/>
          <w:sz w:val="24"/>
          <w:szCs w:val="24"/>
          <w:lang w:eastAsia="hr-HR"/>
        </w:rPr>
        <w:t>osiguranje u 202</w:t>
      </w:r>
      <w:r w:rsidR="00EB27F0">
        <w:rPr>
          <w:bCs/>
          <w:color w:val="000000"/>
          <w:sz w:val="24"/>
          <w:szCs w:val="24"/>
          <w:lang w:eastAsia="hr-HR"/>
        </w:rPr>
        <w:t>5</w:t>
      </w:r>
      <w:r w:rsidR="00CE3900">
        <w:rPr>
          <w:bCs/>
          <w:color w:val="000000"/>
          <w:sz w:val="24"/>
          <w:szCs w:val="24"/>
          <w:lang w:eastAsia="hr-HR"/>
        </w:rPr>
        <w:t xml:space="preserve">. godini su </w:t>
      </w:r>
      <w:r w:rsidR="00EB27F0">
        <w:rPr>
          <w:bCs/>
          <w:color w:val="000000"/>
          <w:sz w:val="24"/>
          <w:szCs w:val="24"/>
          <w:lang w:eastAsia="hr-HR"/>
        </w:rPr>
        <w:t>51.819.541</w:t>
      </w:r>
      <w:r w:rsidRPr="0070095E">
        <w:rPr>
          <w:bCs/>
          <w:color w:val="000000"/>
          <w:sz w:val="24"/>
          <w:szCs w:val="24"/>
          <w:lang w:eastAsia="hr-HR"/>
        </w:rPr>
        <w:t>,00 KM</w:t>
      </w:r>
      <w:r w:rsidR="00657A9D">
        <w:rPr>
          <w:bCs/>
          <w:color w:val="000000"/>
          <w:sz w:val="24"/>
          <w:szCs w:val="24"/>
          <w:lang w:eastAsia="hr-HR"/>
        </w:rPr>
        <w:t>,</w:t>
      </w:r>
      <w:r w:rsidRPr="0070095E">
        <w:rPr>
          <w:bCs/>
          <w:color w:val="000000"/>
          <w:sz w:val="24"/>
          <w:szCs w:val="24"/>
          <w:lang w:eastAsia="hr-HR"/>
        </w:rPr>
        <w:t xml:space="preserve"> a rashodi u isto</w:t>
      </w:r>
      <w:r w:rsidR="00CE3900">
        <w:rPr>
          <w:bCs/>
          <w:color w:val="000000"/>
          <w:sz w:val="24"/>
          <w:szCs w:val="24"/>
          <w:lang w:eastAsia="hr-HR"/>
        </w:rPr>
        <w:t xml:space="preserve">m vremenskom razdoblju iznose </w:t>
      </w:r>
      <w:r w:rsidR="00EB27F0">
        <w:rPr>
          <w:bCs/>
          <w:color w:val="000000"/>
          <w:sz w:val="24"/>
          <w:szCs w:val="24"/>
          <w:lang w:eastAsia="hr-HR"/>
        </w:rPr>
        <w:t>47.736.474</w:t>
      </w:r>
      <w:r w:rsidRPr="0070095E">
        <w:rPr>
          <w:bCs/>
          <w:color w:val="000000"/>
          <w:sz w:val="24"/>
          <w:szCs w:val="24"/>
          <w:lang w:eastAsia="hr-HR"/>
        </w:rPr>
        <w:t>,00 KM. Projekcija priho</w:t>
      </w:r>
      <w:r w:rsidR="008A0B79">
        <w:rPr>
          <w:bCs/>
          <w:color w:val="000000"/>
          <w:sz w:val="24"/>
          <w:szCs w:val="24"/>
          <w:lang w:eastAsia="hr-HR"/>
        </w:rPr>
        <w:t>da i rashoda ovog zavoda za 202</w:t>
      </w:r>
      <w:r w:rsidR="00EB27F0">
        <w:rPr>
          <w:bCs/>
          <w:color w:val="000000"/>
          <w:sz w:val="24"/>
          <w:szCs w:val="24"/>
          <w:lang w:eastAsia="hr-HR"/>
        </w:rPr>
        <w:t>7</w:t>
      </w:r>
      <w:r w:rsidRPr="0070095E">
        <w:rPr>
          <w:bCs/>
          <w:color w:val="000000"/>
          <w:sz w:val="24"/>
          <w:szCs w:val="24"/>
          <w:lang w:eastAsia="hr-HR"/>
        </w:rPr>
        <w:t>. i</w:t>
      </w:r>
      <w:r w:rsidR="008A0B79">
        <w:rPr>
          <w:bCs/>
          <w:color w:val="000000"/>
          <w:sz w:val="24"/>
          <w:szCs w:val="24"/>
          <w:lang w:eastAsia="hr-HR"/>
        </w:rPr>
        <w:t xml:space="preserve"> 202</w:t>
      </w:r>
      <w:r w:rsidR="00EB27F0">
        <w:rPr>
          <w:bCs/>
          <w:color w:val="000000"/>
          <w:sz w:val="24"/>
          <w:szCs w:val="24"/>
          <w:lang w:eastAsia="hr-HR"/>
        </w:rPr>
        <w:t>8</w:t>
      </w:r>
      <w:r w:rsidRPr="0070095E">
        <w:rPr>
          <w:bCs/>
          <w:color w:val="000000"/>
          <w:sz w:val="24"/>
          <w:szCs w:val="24"/>
          <w:lang w:eastAsia="hr-HR"/>
        </w:rPr>
        <w:t>. godinu je u potpunosti realna i očekivana i sukladna je makroekonomskoj prognozi.</w:t>
      </w:r>
    </w:p>
    <w:p w14:paraId="5D7DF5A0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4444D603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1FD31798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003CE848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3BA7BF44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2D615485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09F438C1" w14:textId="77777777" w:rsidR="00754CCC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7931EDB2" w14:textId="77777777" w:rsidR="000B0BCC" w:rsidRDefault="000B0B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0B78BE9A" w14:textId="77777777" w:rsidR="000B0BCC" w:rsidRDefault="000B0B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3234D404" w14:textId="77777777" w:rsidR="000B0BCC" w:rsidRDefault="000B0B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2FB66E87" w14:textId="77777777" w:rsidR="000B0BCC" w:rsidRDefault="000B0B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04BAF90E" w14:textId="77777777" w:rsidR="002753E1" w:rsidRDefault="002753E1" w:rsidP="00877702">
      <w:pPr>
        <w:pStyle w:val="Opisslike"/>
      </w:pPr>
      <w:bookmarkStart w:id="157" w:name="_Toc106179200"/>
    </w:p>
    <w:p w14:paraId="13F1308E" w14:textId="7A9A08AD" w:rsidR="00754CCC" w:rsidRPr="00337281" w:rsidRDefault="00877702" w:rsidP="00877702">
      <w:pPr>
        <w:pStyle w:val="Opisslike"/>
        <w:rPr>
          <w:sz w:val="20"/>
          <w:lang w:eastAsia="hr-HR"/>
        </w:rPr>
      </w:pPr>
      <w:bookmarkStart w:id="158" w:name="_Toc232407866"/>
      <w:r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18</w:t>
      </w:r>
      <w:r w:rsidR="00D82381">
        <w:fldChar w:fldCharType="end"/>
      </w:r>
      <w:r>
        <w:t xml:space="preserve">. </w:t>
      </w:r>
      <w:r w:rsidR="00754CCC" w:rsidRPr="00337281">
        <w:t>Prihodi o</w:t>
      </w:r>
      <w:r w:rsidR="00EB4D98">
        <w:t>pćina HBŽ-e za razdoblje od 202</w:t>
      </w:r>
      <w:r w:rsidR="00446FFF">
        <w:t>5</w:t>
      </w:r>
      <w:r w:rsidR="00EB4D98">
        <w:t>.-202</w:t>
      </w:r>
      <w:r w:rsidR="00476A4A">
        <w:t>9</w:t>
      </w:r>
      <w:r w:rsidR="00754CCC" w:rsidRPr="00337281">
        <w:t>.g. u mil. KM</w:t>
      </w:r>
      <w:bookmarkEnd w:id="157"/>
      <w:bookmarkEnd w:id="158"/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1335"/>
        <w:gridCol w:w="2255"/>
        <w:gridCol w:w="765"/>
        <w:gridCol w:w="1083"/>
        <w:gridCol w:w="865"/>
        <w:gridCol w:w="865"/>
        <w:gridCol w:w="865"/>
        <w:gridCol w:w="866"/>
        <w:gridCol w:w="1024"/>
      </w:tblGrid>
      <w:tr w:rsidR="00EB4D98" w:rsidRPr="00EB4D98" w14:paraId="390FA8D3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 w:val="restart"/>
            <w:noWrap/>
            <w:hideMark/>
          </w:tcPr>
          <w:p w14:paraId="26E08058" w14:textId="77777777" w:rsidR="00EB4D98" w:rsidRPr="00EB4D98" w:rsidRDefault="00EB4D98" w:rsidP="00EB4D9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KONTO</w:t>
            </w:r>
          </w:p>
        </w:tc>
        <w:tc>
          <w:tcPr>
            <w:tcW w:w="2253" w:type="dxa"/>
            <w:vMerge w:val="restart"/>
            <w:noWrap/>
            <w:hideMark/>
          </w:tcPr>
          <w:p w14:paraId="0DA871C2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VRSTA PRIHODA</w:t>
            </w:r>
          </w:p>
        </w:tc>
        <w:tc>
          <w:tcPr>
            <w:tcW w:w="1772" w:type="dxa"/>
            <w:gridSpan w:val="2"/>
            <w:hideMark/>
          </w:tcPr>
          <w:p w14:paraId="1220E563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OSTVARENO </w:t>
            </w:r>
          </w:p>
        </w:tc>
        <w:tc>
          <w:tcPr>
            <w:tcW w:w="865" w:type="dxa"/>
            <w:vMerge w:val="restart"/>
            <w:hideMark/>
          </w:tcPr>
          <w:p w14:paraId="130CCC80" w14:textId="0D99EC8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PLAN 202</w:t>
            </w:r>
            <w:r w:rsidR="00EB27F0">
              <w:rPr>
                <w:rFonts w:ascii="Calibri" w:hAnsi="Calibri" w:cs="Calibri"/>
                <w:color w:val="000000"/>
                <w:szCs w:val="22"/>
              </w:rPr>
              <w:t>6</w:t>
            </w:r>
            <w:r w:rsidRPr="00EB4D98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596" w:type="dxa"/>
            <w:gridSpan w:val="3"/>
            <w:noWrap/>
            <w:hideMark/>
          </w:tcPr>
          <w:p w14:paraId="6D0E138D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PROJEKCIJA</w:t>
            </w:r>
          </w:p>
        </w:tc>
        <w:tc>
          <w:tcPr>
            <w:tcW w:w="923" w:type="dxa"/>
            <w:vMerge w:val="restart"/>
            <w:hideMark/>
          </w:tcPr>
          <w:p w14:paraId="50110C3F" w14:textId="7357722E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B4D98">
              <w:rPr>
                <w:rFonts w:ascii="Calibri" w:hAnsi="Calibri" w:cs="Calibri"/>
                <w:color w:val="000000"/>
                <w:sz w:val="18"/>
                <w:szCs w:val="18"/>
              </w:rPr>
              <w:t>INDEKS 202</w:t>
            </w:r>
            <w:r w:rsidR="00EB27F0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EB4D98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 w:rsidR="00EB27F0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EB4D98" w:rsidRPr="00EB4D98" w14:paraId="5D5EF74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vMerge/>
            <w:hideMark/>
          </w:tcPr>
          <w:p w14:paraId="28CC7B9F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53" w:type="dxa"/>
            <w:vMerge/>
            <w:hideMark/>
          </w:tcPr>
          <w:p w14:paraId="47AF5BDA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689" w:type="dxa"/>
            <w:noWrap/>
            <w:hideMark/>
          </w:tcPr>
          <w:p w14:paraId="2D6392E9" w14:textId="4281C95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EB27F0"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082" w:type="dxa"/>
            <w:hideMark/>
          </w:tcPr>
          <w:p w14:paraId="6007D0E1" w14:textId="6BC59B8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UDIO 202</w:t>
            </w:r>
            <w:r w:rsidR="00EB27F0">
              <w:rPr>
                <w:rFonts w:ascii="Calibri" w:hAnsi="Calibri" w:cs="Calibri"/>
                <w:b/>
                <w:bCs/>
                <w:color w:val="000000"/>
                <w:szCs w:val="22"/>
              </w:rPr>
              <w:t>5</w:t>
            </w: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65" w:type="dxa"/>
            <w:vMerge/>
            <w:hideMark/>
          </w:tcPr>
          <w:p w14:paraId="26E53895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865" w:type="dxa"/>
            <w:noWrap/>
            <w:hideMark/>
          </w:tcPr>
          <w:p w14:paraId="42B874BC" w14:textId="4005908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EB27F0">
              <w:rPr>
                <w:rFonts w:ascii="Calibri" w:hAnsi="Calibri" w:cs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65" w:type="dxa"/>
            <w:noWrap/>
            <w:hideMark/>
          </w:tcPr>
          <w:p w14:paraId="39632A83" w14:textId="31A4C39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EB27F0">
              <w:rPr>
                <w:rFonts w:ascii="Calibri" w:hAnsi="Calibri" w:cs="Calibr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865" w:type="dxa"/>
            <w:noWrap/>
            <w:hideMark/>
          </w:tcPr>
          <w:p w14:paraId="2C62B1BE" w14:textId="3B1DC68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202</w:t>
            </w:r>
            <w:r w:rsidR="00EB27F0">
              <w:rPr>
                <w:rFonts w:ascii="Calibri" w:hAnsi="Calibri" w:cs="Calibr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23" w:type="dxa"/>
            <w:vMerge/>
            <w:hideMark/>
          </w:tcPr>
          <w:p w14:paraId="61498ACE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B4D98" w:rsidRPr="00EB4D98" w14:paraId="0F00D6ED" w14:textId="77777777" w:rsidTr="0082227C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1F41FF1F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3" w:type="dxa"/>
            <w:noWrap/>
            <w:hideMark/>
          </w:tcPr>
          <w:p w14:paraId="41E4F9F0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UKUPNI PRIHODI</w:t>
            </w:r>
          </w:p>
        </w:tc>
        <w:tc>
          <w:tcPr>
            <w:tcW w:w="689" w:type="dxa"/>
            <w:noWrap/>
            <w:hideMark/>
          </w:tcPr>
          <w:p w14:paraId="08555671" w14:textId="6F88A999" w:rsidR="00EB4D98" w:rsidRPr="00EB4D98" w:rsidRDefault="00D2409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57,06</w:t>
            </w:r>
          </w:p>
        </w:tc>
        <w:tc>
          <w:tcPr>
            <w:tcW w:w="1082" w:type="dxa"/>
            <w:noWrap/>
            <w:hideMark/>
          </w:tcPr>
          <w:p w14:paraId="4CE1CFE4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100,00</w:t>
            </w:r>
          </w:p>
        </w:tc>
        <w:tc>
          <w:tcPr>
            <w:tcW w:w="865" w:type="dxa"/>
            <w:noWrap/>
            <w:hideMark/>
          </w:tcPr>
          <w:p w14:paraId="0DF1496E" w14:textId="7BEBA3AD" w:rsidR="00EB4D98" w:rsidRPr="00EB4D98" w:rsidRDefault="002F509A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76,95</w:t>
            </w:r>
          </w:p>
        </w:tc>
        <w:tc>
          <w:tcPr>
            <w:tcW w:w="865" w:type="dxa"/>
            <w:noWrap/>
            <w:hideMark/>
          </w:tcPr>
          <w:p w14:paraId="7C9AAE24" w14:textId="0AEAC75F" w:rsidR="00EB4D98" w:rsidRPr="00EB4D98" w:rsidRDefault="002D4E14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2B28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8,77</w:t>
            </w:r>
          </w:p>
        </w:tc>
        <w:tc>
          <w:tcPr>
            <w:tcW w:w="865" w:type="dxa"/>
            <w:noWrap/>
            <w:hideMark/>
          </w:tcPr>
          <w:p w14:paraId="55178939" w14:textId="19F1FBC8" w:rsidR="00EB4D98" w:rsidRPr="00EB4D98" w:rsidRDefault="00717443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60,59</w:t>
            </w:r>
          </w:p>
        </w:tc>
        <w:tc>
          <w:tcPr>
            <w:tcW w:w="865" w:type="dxa"/>
            <w:noWrap/>
            <w:hideMark/>
          </w:tcPr>
          <w:p w14:paraId="02F82A26" w14:textId="5FD0B254" w:rsidR="00EB4D98" w:rsidRPr="00EB4D98" w:rsidRDefault="00DB7A7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62,59</w:t>
            </w:r>
          </w:p>
        </w:tc>
        <w:tc>
          <w:tcPr>
            <w:tcW w:w="923" w:type="dxa"/>
            <w:noWrap/>
            <w:hideMark/>
          </w:tcPr>
          <w:p w14:paraId="0575B080" w14:textId="76DA040C" w:rsidR="00EB4D98" w:rsidRPr="00EB4D98" w:rsidRDefault="00C1729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134,86</w:t>
            </w:r>
          </w:p>
        </w:tc>
      </w:tr>
      <w:tr w:rsidR="00EB4D98" w:rsidRPr="00EB4D98" w14:paraId="3A92A3E5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2E4203F4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3" w:type="dxa"/>
            <w:noWrap/>
            <w:hideMark/>
          </w:tcPr>
          <w:p w14:paraId="359E6545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I.Porezni</w:t>
            </w:r>
            <w:proofErr w:type="spellEnd"/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prihodi</w:t>
            </w:r>
          </w:p>
        </w:tc>
        <w:tc>
          <w:tcPr>
            <w:tcW w:w="689" w:type="dxa"/>
            <w:noWrap/>
            <w:hideMark/>
          </w:tcPr>
          <w:p w14:paraId="189FDE0D" w14:textId="258EF4AD" w:rsidR="00EB4D98" w:rsidRPr="00EB4D98" w:rsidRDefault="00D3154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D240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082" w:type="dxa"/>
            <w:noWrap/>
            <w:hideMark/>
          </w:tcPr>
          <w:p w14:paraId="48164993" w14:textId="1F90849F" w:rsidR="00EB4D98" w:rsidRPr="00EB4D98" w:rsidRDefault="0098081D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4</w:t>
            </w:r>
            <w:r w:rsidR="00284101">
              <w:rPr>
                <w:rFonts w:ascii="Calibri" w:hAnsi="Calibri" w:cs="Calibri"/>
                <w:b/>
                <w:bCs/>
                <w:color w:val="000000"/>
                <w:szCs w:val="22"/>
              </w:rPr>
              <w:t>5,11</w:t>
            </w:r>
          </w:p>
        </w:tc>
        <w:tc>
          <w:tcPr>
            <w:tcW w:w="865" w:type="dxa"/>
            <w:noWrap/>
            <w:hideMark/>
          </w:tcPr>
          <w:p w14:paraId="1A1176BA" w14:textId="32DC5855" w:rsidR="00EB4D98" w:rsidRPr="00EB4D98" w:rsidRDefault="002F509A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26,70</w:t>
            </w:r>
          </w:p>
        </w:tc>
        <w:tc>
          <w:tcPr>
            <w:tcW w:w="865" w:type="dxa"/>
            <w:noWrap/>
            <w:hideMark/>
          </w:tcPr>
          <w:p w14:paraId="2B048DBF" w14:textId="6457E2A0" w:rsidR="00EB4D98" w:rsidRPr="00EB4D98" w:rsidRDefault="002B281F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26,51</w:t>
            </w:r>
          </w:p>
        </w:tc>
        <w:tc>
          <w:tcPr>
            <w:tcW w:w="865" w:type="dxa"/>
            <w:noWrap/>
            <w:hideMark/>
          </w:tcPr>
          <w:p w14:paraId="68BE997F" w14:textId="5859A290" w:rsidR="00EB4D98" w:rsidRPr="00EB4D98" w:rsidRDefault="006F482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71744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865" w:type="dxa"/>
            <w:noWrap/>
            <w:hideMark/>
          </w:tcPr>
          <w:p w14:paraId="7313976B" w14:textId="221570C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DB7A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8,23</w:t>
            </w:r>
          </w:p>
        </w:tc>
        <w:tc>
          <w:tcPr>
            <w:tcW w:w="923" w:type="dxa"/>
            <w:noWrap/>
            <w:hideMark/>
          </w:tcPr>
          <w:p w14:paraId="51A4CE7E" w14:textId="3A0CB5DD" w:rsidR="00EB4D98" w:rsidRPr="00EB4D98" w:rsidRDefault="00C1729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103,73</w:t>
            </w:r>
          </w:p>
        </w:tc>
      </w:tr>
      <w:tr w:rsidR="00EB4D98" w:rsidRPr="00EB4D98" w14:paraId="09A4FE89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26A66627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717</w:t>
            </w:r>
          </w:p>
        </w:tc>
        <w:tc>
          <w:tcPr>
            <w:tcW w:w="2253" w:type="dxa"/>
            <w:noWrap/>
            <w:hideMark/>
          </w:tcPr>
          <w:p w14:paraId="58A9B777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Neizravni porezi</w:t>
            </w:r>
          </w:p>
        </w:tc>
        <w:tc>
          <w:tcPr>
            <w:tcW w:w="689" w:type="dxa"/>
            <w:noWrap/>
            <w:hideMark/>
          </w:tcPr>
          <w:p w14:paraId="01F02D25" w14:textId="61DC5B41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D2409C">
              <w:rPr>
                <w:rFonts w:ascii="Calibri" w:hAnsi="Calibri" w:cs="Calibri"/>
                <w:color w:val="000000"/>
                <w:szCs w:val="22"/>
              </w:rPr>
              <w:t>8,03</w:t>
            </w:r>
          </w:p>
        </w:tc>
        <w:tc>
          <w:tcPr>
            <w:tcW w:w="1082" w:type="dxa"/>
            <w:noWrap/>
            <w:hideMark/>
          </w:tcPr>
          <w:p w14:paraId="7600A0E8" w14:textId="3CA0B51F" w:rsidR="00EB4D98" w:rsidRPr="00EB4D98" w:rsidRDefault="0098081D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31,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60</w:t>
            </w:r>
          </w:p>
        </w:tc>
        <w:tc>
          <w:tcPr>
            <w:tcW w:w="865" w:type="dxa"/>
            <w:noWrap/>
            <w:hideMark/>
          </w:tcPr>
          <w:p w14:paraId="1129D488" w14:textId="35D57313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F509A">
              <w:rPr>
                <w:rFonts w:ascii="Calibri" w:hAnsi="Calibri" w:cs="Calibri"/>
                <w:color w:val="000000"/>
                <w:szCs w:val="22"/>
              </w:rPr>
              <w:t>8,90</w:t>
            </w:r>
          </w:p>
        </w:tc>
        <w:tc>
          <w:tcPr>
            <w:tcW w:w="865" w:type="dxa"/>
            <w:noWrap/>
            <w:hideMark/>
          </w:tcPr>
          <w:p w14:paraId="0CCB0D59" w14:textId="4D0C6868" w:rsidR="00EB4D98" w:rsidRPr="00EB4D98" w:rsidRDefault="002D4E14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8,59</w:t>
            </w:r>
          </w:p>
        </w:tc>
        <w:tc>
          <w:tcPr>
            <w:tcW w:w="865" w:type="dxa"/>
            <w:noWrap/>
            <w:hideMark/>
          </w:tcPr>
          <w:p w14:paraId="64CBBBB0" w14:textId="73F93523" w:rsidR="00EB4D98" w:rsidRPr="00EB4D98" w:rsidRDefault="00717443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19,1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865" w:type="dxa"/>
            <w:noWrap/>
            <w:hideMark/>
          </w:tcPr>
          <w:p w14:paraId="76EC3D27" w14:textId="14A3BA55" w:rsidR="00EB4D98" w:rsidRPr="00EB4D98" w:rsidRDefault="000276A9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9,80</w:t>
            </w:r>
          </w:p>
        </w:tc>
        <w:tc>
          <w:tcPr>
            <w:tcW w:w="923" w:type="dxa"/>
            <w:noWrap/>
            <w:hideMark/>
          </w:tcPr>
          <w:p w14:paraId="5FF308C9" w14:textId="50091A9B" w:rsidR="00EB4D98" w:rsidRPr="00EB4D98" w:rsidRDefault="00C1729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104,83</w:t>
            </w:r>
          </w:p>
        </w:tc>
      </w:tr>
      <w:tr w:rsidR="00EB4D98" w:rsidRPr="00EB4D98" w14:paraId="3CC20781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19C57662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711</w:t>
            </w:r>
          </w:p>
        </w:tc>
        <w:tc>
          <w:tcPr>
            <w:tcW w:w="2253" w:type="dxa"/>
            <w:noWrap/>
            <w:hideMark/>
          </w:tcPr>
          <w:p w14:paraId="475B5250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Porez na dobit</w:t>
            </w:r>
          </w:p>
        </w:tc>
        <w:tc>
          <w:tcPr>
            <w:tcW w:w="689" w:type="dxa"/>
            <w:noWrap/>
            <w:hideMark/>
          </w:tcPr>
          <w:p w14:paraId="15719032" w14:textId="195C51CA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D2409C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2" w:type="dxa"/>
            <w:noWrap/>
            <w:hideMark/>
          </w:tcPr>
          <w:p w14:paraId="40B58C6E" w14:textId="50B0DE2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98081D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865" w:type="dxa"/>
            <w:noWrap/>
            <w:hideMark/>
          </w:tcPr>
          <w:p w14:paraId="0FD92FA1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0,01</w:t>
            </w:r>
          </w:p>
        </w:tc>
        <w:tc>
          <w:tcPr>
            <w:tcW w:w="865" w:type="dxa"/>
            <w:noWrap/>
            <w:hideMark/>
          </w:tcPr>
          <w:p w14:paraId="1A04FAE6" w14:textId="01AC16C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2D4E14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865" w:type="dxa"/>
            <w:noWrap/>
            <w:hideMark/>
          </w:tcPr>
          <w:p w14:paraId="4C1A0100" w14:textId="05AA28C5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71744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865" w:type="dxa"/>
            <w:noWrap/>
            <w:hideMark/>
          </w:tcPr>
          <w:p w14:paraId="1CA546BA" w14:textId="676F9F3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923" w:type="dxa"/>
            <w:noWrap/>
            <w:hideMark/>
          </w:tcPr>
          <w:p w14:paraId="0B970C5D" w14:textId="48FDD73B" w:rsidR="00EB4D98" w:rsidRPr="00EB4D98" w:rsidRDefault="00C1729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11,11</w:t>
            </w:r>
          </w:p>
        </w:tc>
      </w:tr>
      <w:tr w:rsidR="00EB4D98" w:rsidRPr="00EB4D98" w14:paraId="0C0A594A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7AA6B0C8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714</w:t>
            </w:r>
          </w:p>
        </w:tc>
        <w:tc>
          <w:tcPr>
            <w:tcW w:w="2253" w:type="dxa"/>
            <w:noWrap/>
            <w:hideMark/>
          </w:tcPr>
          <w:p w14:paraId="67D8EF73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Porezi građana</w:t>
            </w:r>
          </w:p>
        </w:tc>
        <w:tc>
          <w:tcPr>
            <w:tcW w:w="689" w:type="dxa"/>
            <w:noWrap/>
            <w:hideMark/>
          </w:tcPr>
          <w:p w14:paraId="0867064B" w14:textId="6E6F823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1,</w:t>
            </w:r>
            <w:r w:rsidR="00D2409C"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082" w:type="dxa"/>
            <w:noWrap/>
            <w:hideMark/>
          </w:tcPr>
          <w:p w14:paraId="736913DB" w14:textId="26DEBC24" w:rsidR="00EB4D98" w:rsidRPr="00EB4D98" w:rsidRDefault="0098081D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0,9</w:t>
            </w:r>
          </w:p>
        </w:tc>
        <w:tc>
          <w:tcPr>
            <w:tcW w:w="865" w:type="dxa"/>
            <w:noWrap/>
            <w:hideMark/>
          </w:tcPr>
          <w:p w14:paraId="212BA3A2" w14:textId="6CBB94B3" w:rsidR="00EB4D98" w:rsidRPr="00EB4D98" w:rsidRDefault="002F509A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1,20</w:t>
            </w:r>
          </w:p>
        </w:tc>
        <w:tc>
          <w:tcPr>
            <w:tcW w:w="865" w:type="dxa"/>
            <w:noWrap/>
            <w:hideMark/>
          </w:tcPr>
          <w:p w14:paraId="2231470F" w14:textId="5F2B044D" w:rsidR="00EB4D98" w:rsidRPr="00EB4D98" w:rsidRDefault="002B281F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,23</w:t>
            </w:r>
          </w:p>
        </w:tc>
        <w:tc>
          <w:tcPr>
            <w:tcW w:w="865" w:type="dxa"/>
            <w:noWrap/>
            <w:hideMark/>
          </w:tcPr>
          <w:p w14:paraId="577FCFAF" w14:textId="3AA259C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1,</w:t>
            </w:r>
            <w:r w:rsidR="00717443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865" w:type="dxa"/>
            <w:noWrap/>
            <w:hideMark/>
          </w:tcPr>
          <w:p w14:paraId="5D4F401E" w14:textId="7A203C7D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1,</w:t>
            </w:r>
            <w:r w:rsidR="000276A9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23" w:type="dxa"/>
            <w:noWrap/>
            <w:hideMark/>
          </w:tcPr>
          <w:p w14:paraId="445BAD0B" w14:textId="7E61F486" w:rsidR="00EB4D98" w:rsidRPr="00EB4D98" w:rsidRDefault="00C1729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100,84</w:t>
            </w:r>
          </w:p>
        </w:tc>
      </w:tr>
      <w:tr w:rsidR="00EB4D98" w:rsidRPr="00EB4D98" w14:paraId="0208B5DE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04101AA4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716</w:t>
            </w:r>
          </w:p>
        </w:tc>
        <w:tc>
          <w:tcPr>
            <w:tcW w:w="2253" w:type="dxa"/>
            <w:noWrap/>
            <w:hideMark/>
          </w:tcPr>
          <w:p w14:paraId="78DAC63D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Porez na plaće/dohodak</w:t>
            </w:r>
          </w:p>
        </w:tc>
        <w:tc>
          <w:tcPr>
            <w:tcW w:w="689" w:type="dxa"/>
            <w:noWrap/>
            <w:hideMark/>
          </w:tcPr>
          <w:p w14:paraId="7BF408FE" w14:textId="4811EC83" w:rsidR="00EB4D98" w:rsidRPr="00EB4D98" w:rsidRDefault="00D2409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6,10</w:t>
            </w:r>
          </w:p>
        </w:tc>
        <w:tc>
          <w:tcPr>
            <w:tcW w:w="1082" w:type="dxa"/>
            <w:noWrap/>
            <w:hideMark/>
          </w:tcPr>
          <w:p w14:paraId="5C09FBC5" w14:textId="69B2C9F8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10,69</w:t>
            </w:r>
          </w:p>
        </w:tc>
        <w:tc>
          <w:tcPr>
            <w:tcW w:w="865" w:type="dxa"/>
            <w:noWrap/>
            <w:hideMark/>
          </w:tcPr>
          <w:p w14:paraId="060CAC61" w14:textId="304BC060" w:rsidR="00EB4D98" w:rsidRPr="00EB4D98" w:rsidRDefault="002F509A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6,19</w:t>
            </w:r>
          </w:p>
        </w:tc>
        <w:tc>
          <w:tcPr>
            <w:tcW w:w="865" w:type="dxa"/>
            <w:noWrap/>
            <w:hideMark/>
          </w:tcPr>
          <w:p w14:paraId="2F3DC9B9" w14:textId="5BF1F11E" w:rsidR="00EB4D98" w:rsidRPr="00EB4D98" w:rsidRDefault="002B281F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6,29</w:t>
            </w:r>
          </w:p>
        </w:tc>
        <w:tc>
          <w:tcPr>
            <w:tcW w:w="865" w:type="dxa"/>
            <w:noWrap/>
            <w:hideMark/>
          </w:tcPr>
          <w:p w14:paraId="707098CB" w14:textId="74E53EA0" w:rsidR="00EB4D98" w:rsidRPr="00EB4D98" w:rsidRDefault="00717443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54</w:t>
            </w:r>
          </w:p>
        </w:tc>
        <w:tc>
          <w:tcPr>
            <w:tcW w:w="865" w:type="dxa"/>
            <w:noWrap/>
            <w:hideMark/>
          </w:tcPr>
          <w:p w14:paraId="2AA294BD" w14:textId="0B001F7E" w:rsidR="00EB4D98" w:rsidRPr="00EB4D98" w:rsidRDefault="00DB7A7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6,67</w:t>
            </w:r>
          </w:p>
        </w:tc>
        <w:tc>
          <w:tcPr>
            <w:tcW w:w="923" w:type="dxa"/>
            <w:noWrap/>
            <w:hideMark/>
          </w:tcPr>
          <w:p w14:paraId="3A30ED34" w14:textId="5A56A166" w:rsidR="00EB4D98" w:rsidRPr="00EB4D98" w:rsidRDefault="00C1729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101,48</w:t>
            </w:r>
          </w:p>
        </w:tc>
      </w:tr>
      <w:tr w:rsidR="00EB4D98" w:rsidRPr="00EB4D98" w14:paraId="0A7CBE32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2335AE30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713,715,719</w:t>
            </w:r>
          </w:p>
        </w:tc>
        <w:tc>
          <w:tcPr>
            <w:tcW w:w="2253" w:type="dxa"/>
            <w:noWrap/>
            <w:hideMark/>
          </w:tcPr>
          <w:p w14:paraId="5D68252E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Ostali porezi</w:t>
            </w:r>
          </w:p>
        </w:tc>
        <w:tc>
          <w:tcPr>
            <w:tcW w:w="689" w:type="dxa"/>
            <w:noWrap/>
            <w:hideMark/>
          </w:tcPr>
          <w:p w14:paraId="7F6739F6" w14:textId="6496B0D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1082" w:type="dxa"/>
            <w:noWrap/>
            <w:hideMark/>
          </w:tcPr>
          <w:p w14:paraId="362793EB" w14:textId="28795CF7" w:rsidR="00EB4D98" w:rsidRPr="00EB4D98" w:rsidRDefault="0028410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0,56</w:t>
            </w:r>
          </w:p>
        </w:tc>
        <w:tc>
          <w:tcPr>
            <w:tcW w:w="865" w:type="dxa"/>
            <w:noWrap/>
            <w:hideMark/>
          </w:tcPr>
          <w:p w14:paraId="27627A76" w14:textId="02181C9B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2F509A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  <w:tc>
          <w:tcPr>
            <w:tcW w:w="865" w:type="dxa"/>
            <w:noWrap/>
            <w:hideMark/>
          </w:tcPr>
          <w:p w14:paraId="0800BD6A" w14:textId="48841E9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33</w:t>
            </w:r>
          </w:p>
        </w:tc>
        <w:tc>
          <w:tcPr>
            <w:tcW w:w="865" w:type="dxa"/>
            <w:noWrap/>
            <w:hideMark/>
          </w:tcPr>
          <w:p w14:paraId="1F6F35FF" w14:textId="4737C74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945EA0">
              <w:rPr>
                <w:rFonts w:ascii="Calibri" w:hAnsi="Calibri" w:cs="Calibri"/>
                <w:color w:val="000000"/>
                <w:szCs w:val="22"/>
              </w:rPr>
              <w:t>35</w:t>
            </w:r>
          </w:p>
        </w:tc>
        <w:tc>
          <w:tcPr>
            <w:tcW w:w="865" w:type="dxa"/>
            <w:noWrap/>
            <w:hideMark/>
          </w:tcPr>
          <w:p w14:paraId="08772ABE" w14:textId="662020F5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0276A9">
              <w:rPr>
                <w:rFonts w:ascii="Calibri" w:hAnsi="Calibri" w:cs="Calibri"/>
                <w:color w:val="000000"/>
                <w:szCs w:val="22"/>
              </w:rPr>
              <w:t>3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923" w:type="dxa"/>
            <w:noWrap/>
            <w:hideMark/>
          </w:tcPr>
          <w:p w14:paraId="5EAF69DA" w14:textId="2BA3A55D" w:rsidR="00EB4D98" w:rsidRPr="00EB4D98" w:rsidRDefault="00C1729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121,21</w:t>
            </w:r>
          </w:p>
        </w:tc>
      </w:tr>
      <w:tr w:rsidR="00EB4D98" w:rsidRPr="00EB4D98" w14:paraId="4207B114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6E992A26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3" w:type="dxa"/>
            <w:noWrap/>
            <w:hideMark/>
          </w:tcPr>
          <w:p w14:paraId="04F2F788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II.Neporezni</w:t>
            </w:r>
            <w:proofErr w:type="spellEnd"/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prihodi</w:t>
            </w:r>
          </w:p>
        </w:tc>
        <w:tc>
          <w:tcPr>
            <w:tcW w:w="689" w:type="dxa"/>
            <w:noWrap/>
            <w:hideMark/>
          </w:tcPr>
          <w:p w14:paraId="780EDC78" w14:textId="6F63E4E3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1082" w:type="dxa"/>
            <w:noWrap/>
            <w:hideMark/>
          </w:tcPr>
          <w:p w14:paraId="6D2CCD0B" w14:textId="3AF3D28A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50,77</w:t>
            </w:r>
          </w:p>
        </w:tc>
        <w:tc>
          <w:tcPr>
            <w:tcW w:w="865" w:type="dxa"/>
            <w:noWrap/>
            <w:hideMark/>
          </w:tcPr>
          <w:p w14:paraId="6AC31D19" w14:textId="730AE450" w:rsidR="00EB4D98" w:rsidRPr="00EB4D98" w:rsidRDefault="002B281F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44,93</w:t>
            </w:r>
          </w:p>
        </w:tc>
        <w:tc>
          <w:tcPr>
            <w:tcW w:w="865" w:type="dxa"/>
            <w:noWrap/>
            <w:hideMark/>
          </w:tcPr>
          <w:p w14:paraId="5A403CE5" w14:textId="56099D35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1E7D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9,77</w:t>
            </w:r>
          </w:p>
        </w:tc>
        <w:tc>
          <w:tcPr>
            <w:tcW w:w="865" w:type="dxa"/>
            <w:noWrap/>
            <w:hideMark/>
          </w:tcPr>
          <w:p w14:paraId="6D6CFDD9" w14:textId="7FA856AB" w:rsidR="00EB4D98" w:rsidRPr="00EB4D98" w:rsidRDefault="00DB7A7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30,69</w:t>
            </w:r>
          </w:p>
        </w:tc>
        <w:tc>
          <w:tcPr>
            <w:tcW w:w="865" w:type="dxa"/>
            <w:noWrap/>
            <w:hideMark/>
          </w:tcPr>
          <w:p w14:paraId="095353D0" w14:textId="666F5AF7" w:rsidR="00EB4D98" w:rsidRPr="00EB4D98" w:rsidRDefault="00937005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31,70</w:t>
            </w:r>
          </w:p>
        </w:tc>
        <w:tc>
          <w:tcPr>
            <w:tcW w:w="923" w:type="dxa"/>
            <w:noWrap/>
            <w:hideMark/>
          </w:tcPr>
          <w:p w14:paraId="5CC30E47" w14:textId="174CC589" w:rsidR="00EB4D98" w:rsidRPr="00EB4D98" w:rsidRDefault="00A14DF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CF1932">
              <w:rPr>
                <w:rFonts w:ascii="Calibri" w:hAnsi="Calibri" w:cs="Calibri"/>
                <w:b/>
                <w:bCs/>
                <w:color w:val="000000"/>
                <w:szCs w:val="22"/>
              </w:rPr>
              <w:t>55,09</w:t>
            </w:r>
          </w:p>
        </w:tc>
      </w:tr>
      <w:tr w:rsidR="00EB4D98" w:rsidRPr="00EB4D98" w14:paraId="46E541B2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3C212CB3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721</w:t>
            </w:r>
          </w:p>
        </w:tc>
        <w:tc>
          <w:tcPr>
            <w:tcW w:w="2253" w:type="dxa"/>
            <w:noWrap/>
            <w:hideMark/>
          </w:tcPr>
          <w:p w14:paraId="5FBCA019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Prih.od</w:t>
            </w:r>
            <w:proofErr w:type="spellEnd"/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poduz.imovine</w:t>
            </w:r>
            <w:proofErr w:type="spellEnd"/>
          </w:p>
        </w:tc>
        <w:tc>
          <w:tcPr>
            <w:tcW w:w="689" w:type="dxa"/>
            <w:noWrap/>
            <w:hideMark/>
          </w:tcPr>
          <w:p w14:paraId="6256CD73" w14:textId="393F97D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90</w:t>
            </w:r>
          </w:p>
        </w:tc>
        <w:tc>
          <w:tcPr>
            <w:tcW w:w="1082" w:type="dxa"/>
            <w:noWrap/>
            <w:hideMark/>
          </w:tcPr>
          <w:p w14:paraId="3714A3F9" w14:textId="04732EBF" w:rsidR="00EB4D98" w:rsidRPr="00EB4D98" w:rsidRDefault="0028410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5,08</w:t>
            </w:r>
          </w:p>
        </w:tc>
        <w:tc>
          <w:tcPr>
            <w:tcW w:w="865" w:type="dxa"/>
            <w:noWrap/>
            <w:hideMark/>
          </w:tcPr>
          <w:p w14:paraId="2DE35037" w14:textId="314CED77" w:rsidR="00EB4D98" w:rsidRPr="00EB4D98" w:rsidRDefault="002F509A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3,75</w:t>
            </w:r>
          </w:p>
        </w:tc>
        <w:tc>
          <w:tcPr>
            <w:tcW w:w="865" w:type="dxa"/>
            <w:noWrap/>
            <w:hideMark/>
          </w:tcPr>
          <w:p w14:paraId="04890FC5" w14:textId="3B11699C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99</w:t>
            </w:r>
          </w:p>
        </w:tc>
        <w:tc>
          <w:tcPr>
            <w:tcW w:w="865" w:type="dxa"/>
            <w:noWrap/>
            <w:hideMark/>
          </w:tcPr>
          <w:p w14:paraId="192EBE7A" w14:textId="26D0A20E" w:rsidR="00EB4D98" w:rsidRPr="00EB4D98" w:rsidRDefault="00DB7A7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3,08</w:t>
            </w:r>
          </w:p>
        </w:tc>
        <w:tc>
          <w:tcPr>
            <w:tcW w:w="865" w:type="dxa"/>
            <w:noWrap/>
            <w:hideMark/>
          </w:tcPr>
          <w:p w14:paraId="314E13DB" w14:textId="4F6D2221" w:rsidR="00EB4D98" w:rsidRPr="00EB4D98" w:rsidRDefault="00937005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3,11</w:t>
            </w:r>
          </w:p>
        </w:tc>
        <w:tc>
          <w:tcPr>
            <w:tcW w:w="923" w:type="dxa"/>
            <w:noWrap/>
            <w:hideMark/>
          </w:tcPr>
          <w:p w14:paraId="1B5C819E" w14:textId="14B37312" w:rsidR="00EB4D98" w:rsidRPr="00EB4D98" w:rsidRDefault="00A14DF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CF1932">
              <w:rPr>
                <w:rFonts w:ascii="Calibri" w:hAnsi="Calibri" w:cs="Calibri"/>
                <w:color w:val="000000"/>
                <w:szCs w:val="22"/>
              </w:rPr>
              <w:t>29,31</w:t>
            </w:r>
          </w:p>
        </w:tc>
      </w:tr>
      <w:tr w:rsidR="00EB4D98" w:rsidRPr="00EB4D98" w14:paraId="476C8CEA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64162573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722</w:t>
            </w:r>
          </w:p>
        </w:tc>
        <w:tc>
          <w:tcPr>
            <w:tcW w:w="2253" w:type="dxa"/>
            <w:noWrap/>
            <w:hideMark/>
          </w:tcPr>
          <w:p w14:paraId="40A79A2C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Takse,naknade</w:t>
            </w:r>
            <w:proofErr w:type="spellEnd"/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 i </w:t>
            </w: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prist</w:t>
            </w:r>
            <w:proofErr w:type="spellEnd"/>
            <w:r w:rsidRPr="00EB4D98"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689" w:type="dxa"/>
            <w:noWrap/>
            <w:hideMark/>
          </w:tcPr>
          <w:p w14:paraId="78D26B50" w14:textId="4F334CE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13,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34</w:t>
            </w:r>
          </w:p>
        </w:tc>
        <w:tc>
          <w:tcPr>
            <w:tcW w:w="1082" w:type="dxa"/>
            <w:noWrap/>
            <w:hideMark/>
          </w:tcPr>
          <w:p w14:paraId="3B6BDA64" w14:textId="4A34AA87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23,38</w:t>
            </w:r>
          </w:p>
        </w:tc>
        <w:tc>
          <w:tcPr>
            <w:tcW w:w="865" w:type="dxa"/>
            <w:noWrap/>
            <w:hideMark/>
          </w:tcPr>
          <w:p w14:paraId="33A611C2" w14:textId="09B7280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16,</w:t>
            </w:r>
            <w:r w:rsidR="002F509A"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  <w:tc>
          <w:tcPr>
            <w:tcW w:w="865" w:type="dxa"/>
            <w:noWrap/>
            <w:hideMark/>
          </w:tcPr>
          <w:p w14:paraId="05041ABE" w14:textId="7F356359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2D4E14">
              <w:rPr>
                <w:rFonts w:ascii="Calibri" w:hAnsi="Calibri" w:cs="Calibri"/>
                <w:color w:val="000000"/>
                <w:szCs w:val="22"/>
              </w:rPr>
              <w:t>3,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74</w:t>
            </w:r>
          </w:p>
        </w:tc>
        <w:tc>
          <w:tcPr>
            <w:tcW w:w="865" w:type="dxa"/>
            <w:noWrap/>
            <w:hideMark/>
          </w:tcPr>
          <w:p w14:paraId="0982A7A5" w14:textId="14B971F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14,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865" w:type="dxa"/>
            <w:noWrap/>
            <w:hideMark/>
          </w:tcPr>
          <w:p w14:paraId="74661664" w14:textId="57854FED" w:rsidR="00EB4D98" w:rsidRPr="00EB4D98" w:rsidRDefault="000276A9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14,</w:t>
            </w:r>
            <w:r w:rsidR="00937005">
              <w:rPr>
                <w:rFonts w:ascii="Calibri" w:hAnsi="Calibri" w:cs="Calibri"/>
                <w:color w:val="000000"/>
                <w:szCs w:val="22"/>
              </w:rPr>
              <w:t>6</w:t>
            </w:r>
            <w:r w:rsidR="00C1729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923" w:type="dxa"/>
            <w:noWrap/>
            <w:hideMark/>
          </w:tcPr>
          <w:p w14:paraId="0B75F60A" w14:textId="1F0A7050" w:rsidR="00EB4D98" w:rsidRPr="00EB4D98" w:rsidRDefault="00A14DF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  <w:r w:rsidR="00CF1932">
              <w:rPr>
                <w:rFonts w:ascii="Calibri" w:hAnsi="Calibri" w:cs="Calibri"/>
                <w:color w:val="000000"/>
                <w:szCs w:val="22"/>
              </w:rPr>
              <w:t>6,24</w:t>
            </w:r>
          </w:p>
        </w:tc>
      </w:tr>
      <w:tr w:rsidR="00EB4D98" w:rsidRPr="00EB4D98" w14:paraId="5C8E99B7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2A66B816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723</w:t>
            </w:r>
          </w:p>
        </w:tc>
        <w:tc>
          <w:tcPr>
            <w:tcW w:w="2253" w:type="dxa"/>
            <w:noWrap/>
            <w:hideMark/>
          </w:tcPr>
          <w:p w14:paraId="41B0FDFB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Novčane kazne</w:t>
            </w:r>
          </w:p>
        </w:tc>
        <w:tc>
          <w:tcPr>
            <w:tcW w:w="689" w:type="dxa"/>
            <w:noWrap/>
            <w:hideMark/>
          </w:tcPr>
          <w:p w14:paraId="3E0C65CB" w14:textId="30D226E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82" w:type="dxa"/>
            <w:noWrap/>
            <w:hideMark/>
          </w:tcPr>
          <w:p w14:paraId="7CA9EDE4" w14:textId="5A93476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C624C2">
              <w:rPr>
                <w:rFonts w:ascii="Calibri" w:hAnsi="Calibri" w:cs="Calibri"/>
                <w:color w:val="000000"/>
                <w:szCs w:val="22"/>
              </w:rPr>
              <w:t>0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865" w:type="dxa"/>
            <w:noWrap/>
            <w:hideMark/>
          </w:tcPr>
          <w:p w14:paraId="1E18392B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0,04</w:t>
            </w:r>
          </w:p>
        </w:tc>
        <w:tc>
          <w:tcPr>
            <w:tcW w:w="865" w:type="dxa"/>
            <w:noWrap/>
            <w:hideMark/>
          </w:tcPr>
          <w:p w14:paraId="2255EB7B" w14:textId="05332A0A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865" w:type="dxa"/>
            <w:noWrap/>
            <w:hideMark/>
          </w:tcPr>
          <w:p w14:paraId="5537A4C0" w14:textId="5B2F6D18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865" w:type="dxa"/>
            <w:noWrap/>
            <w:hideMark/>
          </w:tcPr>
          <w:p w14:paraId="52B83623" w14:textId="44A92F7D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937005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923" w:type="dxa"/>
            <w:noWrap/>
            <w:hideMark/>
          </w:tcPr>
          <w:p w14:paraId="0001B522" w14:textId="5125C579" w:rsidR="00EB4D98" w:rsidRPr="00EB4D98" w:rsidRDefault="00CF193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80,00</w:t>
            </w:r>
          </w:p>
        </w:tc>
      </w:tr>
      <w:tr w:rsidR="00EB4D98" w:rsidRPr="00EB4D98" w14:paraId="3E4A2772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65ABDC71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730</w:t>
            </w:r>
          </w:p>
        </w:tc>
        <w:tc>
          <w:tcPr>
            <w:tcW w:w="2253" w:type="dxa"/>
            <w:noWrap/>
            <w:hideMark/>
          </w:tcPr>
          <w:p w14:paraId="0D34D663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Potpore-tekuće</w:t>
            </w:r>
          </w:p>
        </w:tc>
        <w:tc>
          <w:tcPr>
            <w:tcW w:w="689" w:type="dxa"/>
            <w:noWrap/>
            <w:hideMark/>
          </w:tcPr>
          <w:p w14:paraId="3F1146B1" w14:textId="35F3293E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8,02</w:t>
            </w:r>
          </w:p>
        </w:tc>
        <w:tc>
          <w:tcPr>
            <w:tcW w:w="1082" w:type="dxa"/>
            <w:noWrap/>
            <w:hideMark/>
          </w:tcPr>
          <w:p w14:paraId="14D1CD05" w14:textId="64A5FCD5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14,06</w:t>
            </w:r>
          </w:p>
        </w:tc>
        <w:tc>
          <w:tcPr>
            <w:tcW w:w="865" w:type="dxa"/>
            <w:noWrap/>
            <w:hideMark/>
          </w:tcPr>
          <w:p w14:paraId="4FB2EEB0" w14:textId="6EFE657C" w:rsidR="00EB4D98" w:rsidRPr="00EB4D98" w:rsidRDefault="002B281F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12,81</w:t>
            </w:r>
          </w:p>
        </w:tc>
        <w:tc>
          <w:tcPr>
            <w:tcW w:w="865" w:type="dxa"/>
            <w:noWrap/>
            <w:hideMark/>
          </w:tcPr>
          <w:p w14:paraId="1E7BC6C8" w14:textId="33060D5B" w:rsidR="00EB4D98" w:rsidRPr="00EB4D98" w:rsidRDefault="001E7D31" w:rsidP="001E7D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  8,17</w:t>
            </w:r>
          </w:p>
        </w:tc>
        <w:tc>
          <w:tcPr>
            <w:tcW w:w="865" w:type="dxa"/>
            <w:noWrap/>
            <w:hideMark/>
          </w:tcPr>
          <w:p w14:paraId="0D85AF44" w14:textId="46A558FB" w:rsidR="00EB4D98" w:rsidRPr="00EB4D98" w:rsidRDefault="00DB7A7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8,42</w:t>
            </w:r>
          </w:p>
        </w:tc>
        <w:tc>
          <w:tcPr>
            <w:tcW w:w="865" w:type="dxa"/>
            <w:noWrap/>
            <w:hideMark/>
          </w:tcPr>
          <w:p w14:paraId="5CA1778D" w14:textId="67147AF5" w:rsidR="00EB4D98" w:rsidRPr="00EB4D98" w:rsidRDefault="00937005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8,70</w:t>
            </w:r>
          </w:p>
        </w:tc>
        <w:tc>
          <w:tcPr>
            <w:tcW w:w="923" w:type="dxa"/>
            <w:noWrap/>
            <w:hideMark/>
          </w:tcPr>
          <w:p w14:paraId="397450BD" w14:textId="71B622D7" w:rsidR="00EB4D98" w:rsidRPr="00EB4D98" w:rsidRDefault="00A14DF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CF1932">
              <w:rPr>
                <w:rFonts w:ascii="Calibri" w:hAnsi="Calibri" w:cs="Calibri"/>
                <w:color w:val="000000"/>
                <w:szCs w:val="22"/>
              </w:rPr>
              <w:t>59,73</w:t>
            </w:r>
          </w:p>
        </w:tc>
      </w:tr>
      <w:tr w:rsidR="00EB4D98" w:rsidRPr="00EB4D98" w14:paraId="4526E89C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3DD81083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733</w:t>
            </w:r>
          </w:p>
        </w:tc>
        <w:tc>
          <w:tcPr>
            <w:tcW w:w="2253" w:type="dxa"/>
            <w:noWrap/>
            <w:hideMark/>
          </w:tcPr>
          <w:p w14:paraId="24FE5219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Donacije</w:t>
            </w:r>
          </w:p>
        </w:tc>
        <w:tc>
          <w:tcPr>
            <w:tcW w:w="689" w:type="dxa"/>
            <w:noWrap/>
            <w:hideMark/>
          </w:tcPr>
          <w:p w14:paraId="4BA0611F" w14:textId="341861AC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2" w:type="dxa"/>
            <w:noWrap/>
            <w:hideMark/>
          </w:tcPr>
          <w:p w14:paraId="62BACC82" w14:textId="2DCB91A3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284101"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865" w:type="dxa"/>
            <w:noWrap/>
            <w:hideMark/>
          </w:tcPr>
          <w:p w14:paraId="334486CC" w14:textId="6D5CB7ED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2F509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865" w:type="dxa"/>
            <w:noWrap/>
            <w:hideMark/>
          </w:tcPr>
          <w:p w14:paraId="66F40557" w14:textId="79EFC21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1E7D31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865" w:type="dxa"/>
            <w:noWrap/>
            <w:hideMark/>
          </w:tcPr>
          <w:p w14:paraId="3A7DD484" w14:textId="1EFBD1E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865" w:type="dxa"/>
            <w:noWrap/>
            <w:hideMark/>
          </w:tcPr>
          <w:p w14:paraId="084E93BD" w14:textId="74EEFCAC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937005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923" w:type="dxa"/>
            <w:noWrap/>
            <w:hideMark/>
          </w:tcPr>
          <w:p w14:paraId="49866D96" w14:textId="69C7806B" w:rsidR="00EB4D98" w:rsidRPr="00EB4D98" w:rsidRDefault="00CF193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22,22</w:t>
            </w:r>
          </w:p>
        </w:tc>
      </w:tr>
      <w:tr w:rsidR="00EB4D98" w:rsidRPr="00EB4D98" w14:paraId="3A47C241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00B68FB4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740</w:t>
            </w:r>
          </w:p>
        </w:tc>
        <w:tc>
          <w:tcPr>
            <w:tcW w:w="2253" w:type="dxa"/>
            <w:noWrap/>
            <w:hideMark/>
          </w:tcPr>
          <w:p w14:paraId="76B3967F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Kapitalne potpore</w:t>
            </w:r>
          </w:p>
        </w:tc>
        <w:tc>
          <w:tcPr>
            <w:tcW w:w="689" w:type="dxa"/>
            <w:noWrap/>
            <w:hideMark/>
          </w:tcPr>
          <w:p w14:paraId="62A1897C" w14:textId="12FBFCE2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4,57</w:t>
            </w:r>
          </w:p>
        </w:tc>
        <w:tc>
          <w:tcPr>
            <w:tcW w:w="1082" w:type="dxa"/>
            <w:noWrap/>
            <w:hideMark/>
          </w:tcPr>
          <w:p w14:paraId="6A244F75" w14:textId="69A52A86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8,01</w:t>
            </w:r>
          </w:p>
        </w:tc>
        <w:tc>
          <w:tcPr>
            <w:tcW w:w="865" w:type="dxa"/>
            <w:noWrap/>
            <w:hideMark/>
          </w:tcPr>
          <w:p w14:paraId="0E092D8C" w14:textId="6FA44267" w:rsidR="00EB4D98" w:rsidRPr="00EB4D98" w:rsidRDefault="002B281F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11,47</w:t>
            </w:r>
          </w:p>
        </w:tc>
        <w:tc>
          <w:tcPr>
            <w:tcW w:w="865" w:type="dxa"/>
            <w:noWrap/>
            <w:hideMark/>
          </w:tcPr>
          <w:p w14:paraId="112518DF" w14:textId="32CF03D4" w:rsidR="00EB4D98" w:rsidRPr="00EB4D98" w:rsidRDefault="001E7D3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4,71</w:t>
            </w:r>
          </w:p>
        </w:tc>
        <w:tc>
          <w:tcPr>
            <w:tcW w:w="865" w:type="dxa"/>
            <w:noWrap/>
            <w:hideMark/>
          </w:tcPr>
          <w:p w14:paraId="5737E1A7" w14:textId="705FB9AA" w:rsidR="00EB4D98" w:rsidRPr="00EB4D98" w:rsidRDefault="00DB7A7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4,85</w:t>
            </w:r>
          </w:p>
        </w:tc>
        <w:tc>
          <w:tcPr>
            <w:tcW w:w="865" w:type="dxa"/>
            <w:noWrap/>
            <w:hideMark/>
          </w:tcPr>
          <w:p w14:paraId="15D897D1" w14:textId="37DB8582" w:rsidR="00EB4D98" w:rsidRPr="00EB4D98" w:rsidRDefault="000276A9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5,</w:t>
            </w:r>
            <w:r w:rsidR="00937005">
              <w:rPr>
                <w:rFonts w:ascii="Calibri" w:hAnsi="Calibri" w:cs="Calibri"/>
                <w:color w:val="000000"/>
                <w:szCs w:val="22"/>
              </w:rPr>
              <w:t>02</w:t>
            </w:r>
          </w:p>
        </w:tc>
        <w:tc>
          <w:tcPr>
            <w:tcW w:w="923" w:type="dxa"/>
            <w:noWrap/>
            <w:hideMark/>
          </w:tcPr>
          <w:p w14:paraId="3144DFBA" w14:textId="3477C074" w:rsidR="00EB4D98" w:rsidRPr="00EB4D98" w:rsidRDefault="00CF1932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250,98</w:t>
            </w:r>
          </w:p>
        </w:tc>
      </w:tr>
      <w:tr w:rsidR="00EB4D98" w:rsidRPr="00EB4D98" w14:paraId="05F4084F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6DF40FBA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770</w:t>
            </w:r>
          </w:p>
        </w:tc>
        <w:tc>
          <w:tcPr>
            <w:tcW w:w="2253" w:type="dxa"/>
            <w:noWrap/>
            <w:hideMark/>
          </w:tcPr>
          <w:p w14:paraId="470C43C9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Ostalo</w:t>
            </w:r>
          </w:p>
        </w:tc>
        <w:tc>
          <w:tcPr>
            <w:tcW w:w="689" w:type="dxa"/>
            <w:noWrap/>
            <w:hideMark/>
          </w:tcPr>
          <w:p w14:paraId="3C91618B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14:paraId="3057DE13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865" w:type="dxa"/>
            <w:noWrap/>
            <w:hideMark/>
          </w:tcPr>
          <w:p w14:paraId="35EF4ACE" w14:textId="6AE3A14E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</w:t>
            </w:r>
            <w:r w:rsidR="002F509A">
              <w:rPr>
                <w:rFonts w:ascii="Calibri" w:hAnsi="Calibri" w:cs="Calibri"/>
                <w:color w:val="000000"/>
                <w:szCs w:val="22"/>
              </w:rPr>
              <w:t>00</w:t>
            </w:r>
          </w:p>
        </w:tc>
        <w:tc>
          <w:tcPr>
            <w:tcW w:w="865" w:type="dxa"/>
            <w:noWrap/>
            <w:hideMark/>
          </w:tcPr>
          <w:p w14:paraId="38159AC0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865" w:type="dxa"/>
            <w:noWrap/>
            <w:hideMark/>
          </w:tcPr>
          <w:p w14:paraId="2FDE9064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865" w:type="dxa"/>
            <w:noWrap/>
            <w:hideMark/>
          </w:tcPr>
          <w:p w14:paraId="0856219A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923" w:type="dxa"/>
            <w:noWrap/>
            <w:hideMark/>
          </w:tcPr>
          <w:p w14:paraId="6B53B92E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</w:tr>
      <w:tr w:rsidR="00EB4D98" w:rsidRPr="00EB4D98" w14:paraId="5614350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7DEF7611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253" w:type="dxa"/>
            <w:noWrap/>
            <w:hideMark/>
          </w:tcPr>
          <w:p w14:paraId="6691734B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III.Financiranje</w:t>
            </w:r>
            <w:proofErr w:type="spellEnd"/>
          </w:p>
        </w:tc>
        <w:tc>
          <w:tcPr>
            <w:tcW w:w="689" w:type="dxa"/>
            <w:noWrap/>
            <w:hideMark/>
          </w:tcPr>
          <w:p w14:paraId="7500EDAB" w14:textId="7995A4E4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082" w:type="dxa"/>
            <w:noWrap/>
            <w:hideMark/>
          </w:tcPr>
          <w:p w14:paraId="3FAAA8C4" w14:textId="59CE1704" w:rsidR="00EB4D98" w:rsidRPr="00EB4D98" w:rsidRDefault="0028410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4,12</w:t>
            </w:r>
          </w:p>
        </w:tc>
        <w:tc>
          <w:tcPr>
            <w:tcW w:w="865" w:type="dxa"/>
            <w:noWrap/>
            <w:hideMark/>
          </w:tcPr>
          <w:p w14:paraId="1119338F" w14:textId="5E0682C2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3,</w:t>
            </w:r>
            <w:r w:rsidR="002B281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5" w:type="dxa"/>
            <w:noWrap/>
            <w:hideMark/>
          </w:tcPr>
          <w:p w14:paraId="0EDBABF3" w14:textId="4A906C3B" w:rsidR="00EB4D98" w:rsidRPr="00EB4D98" w:rsidRDefault="0086209A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2,</w:t>
            </w:r>
            <w:r w:rsidR="001E7D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5" w:type="dxa"/>
            <w:noWrap/>
            <w:hideMark/>
          </w:tcPr>
          <w:p w14:paraId="1C604932" w14:textId="27573EA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2,</w:t>
            </w:r>
            <w:r w:rsidR="00DB7A7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65" w:type="dxa"/>
            <w:noWrap/>
            <w:hideMark/>
          </w:tcPr>
          <w:p w14:paraId="34E4B451" w14:textId="12B8519A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2,</w:t>
            </w:r>
            <w:r w:rsidR="0093700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923" w:type="dxa"/>
            <w:noWrap/>
            <w:hideMark/>
          </w:tcPr>
          <w:p w14:paraId="44E66742" w14:textId="2697D7AE" w:rsidR="00EB4D98" w:rsidRPr="00EB4D98" w:rsidRDefault="00A14DF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CF1932">
              <w:rPr>
                <w:rFonts w:ascii="Calibri" w:hAnsi="Calibri" w:cs="Calibri"/>
                <w:b/>
                <w:bCs/>
                <w:color w:val="000000"/>
                <w:szCs w:val="22"/>
              </w:rPr>
              <w:t>42,98</w:t>
            </w:r>
          </w:p>
        </w:tc>
      </w:tr>
      <w:tr w:rsidR="00EB4D98" w:rsidRPr="00EB4D98" w14:paraId="6670178F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60433684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811-813</w:t>
            </w:r>
          </w:p>
        </w:tc>
        <w:tc>
          <w:tcPr>
            <w:tcW w:w="2253" w:type="dxa"/>
            <w:noWrap/>
            <w:hideMark/>
          </w:tcPr>
          <w:p w14:paraId="0D8F5227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Primici od </w:t>
            </w: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fin.imovine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E4F60BC" w14:textId="46661BF7" w:rsidR="00EB4D98" w:rsidRPr="00EB4D98" w:rsidRDefault="0028410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2,35</w:t>
            </w:r>
          </w:p>
        </w:tc>
        <w:tc>
          <w:tcPr>
            <w:tcW w:w="1082" w:type="dxa"/>
            <w:noWrap/>
            <w:hideMark/>
          </w:tcPr>
          <w:p w14:paraId="563ED979" w14:textId="2FEEED54" w:rsidR="00EB4D98" w:rsidRPr="00EB4D98" w:rsidRDefault="0028410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4,12</w:t>
            </w:r>
          </w:p>
        </w:tc>
        <w:tc>
          <w:tcPr>
            <w:tcW w:w="865" w:type="dxa"/>
            <w:noWrap/>
            <w:hideMark/>
          </w:tcPr>
          <w:p w14:paraId="4429D43E" w14:textId="4627311E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3,</w:t>
            </w:r>
            <w:r w:rsidR="002B281F">
              <w:rPr>
                <w:rFonts w:ascii="Calibri" w:hAnsi="Calibri" w:cs="Calibri"/>
                <w:color w:val="000000"/>
                <w:szCs w:val="22"/>
              </w:rPr>
              <w:t>36</w:t>
            </w:r>
          </w:p>
        </w:tc>
        <w:tc>
          <w:tcPr>
            <w:tcW w:w="865" w:type="dxa"/>
            <w:noWrap/>
            <w:hideMark/>
          </w:tcPr>
          <w:p w14:paraId="13C02DD6" w14:textId="7070CC42" w:rsidR="00EB4D98" w:rsidRPr="00EB4D98" w:rsidRDefault="0086209A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2,07</w:t>
            </w:r>
          </w:p>
        </w:tc>
        <w:tc>
          <w:tcPr>
            <w:tcW w:w="865" w:type="dxa"/>
            <w:noWrap/>
            <w:hideMark/>
          </w:tcPr>
          <w:p w14:paraId="4EAB2004" w14:textId="64F11081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DB7A77">
              <w:rPr>
                <w:rFonts w:ascii="Calibri" w:hAnsi="Calibri" w:cs="Calibri"/>
                <w:color w:val="000000"/>
                <w:szCs w:val="22"/>
              </w:rPr>
              <w:t>57</w:t>
            </w:r>
          </w:p>
        </w:tc>
        <w:tc>
          <w:tcPr>
            <w:tcW w:w="865" w:type="dxa"/>
            <w:noWrap/>
            <w:hideMark/>
          </w:tcPr>
          <w:p w14:paraId="15F818EA" w14:textId="62F4A1DB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937005">
              <w:rPr>
                <w:rFonts w:ascii="Calibri" w:hAnsi="Calibri" w:cs="Calibri"/>
                <w:color w:val="000000"/>
                <w:szCs w:val="22"/>
              </w:rPr>
              <w:t>66</w:t>
            </w:r>
          </w:p>
        </w:tc>
        <w:tc>
          <w:tcPr>
            <w:tcW w:w="923" w:type="dxa"/>
            <w:noWrap/>
            <w:hideMark/>
          </w:tcPr>
          <w:p w14:paraId="69E08C37" w14:textId="6A39752C" w:rsidR="00EB4D98" w:rsidRPr="00EB4D98" w:rsidRDefault="00A14DF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CF1932">
              <w:rPr>
                <w:rFonts w:ascii="Calibri" w:hAnsi="Calibri" w:cs="Calibri"/>
                <w:color w:val="000000"/>
                <w:szCs w:val="22"/>
              </w:rPr>
              <w:t>42,98</w:t>
            </w:r>
          </w:p>
        </w:tc>
      </w:tr>
      <w:tr w:rsidR="00EB4D98" w:rsidRPr="00EB4D98" w14:paraId="2BED4C0B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7544B345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814-815</w:t>
            </w:r>
          </w:p>
        </w:tc>
        <w:tc>
          <w:tcPr>
            <w:tcW w:w="2253" w:type="dxa"/>
            <w:noWrap/>
            <w:hideMark/>
          </w:tcPr>
          <w:p w14:paraId="679E549A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Primici od kredita</w:t>
            </w:r>
          </w:p>
        </w:tc>
        <w:tc>
          <w:tcPr>
            <w:tcW w:w="689" w:type="dxa"/>
            <w:noWrap/>
            <w:hideMark/>
          </w:tcPr>
          <w:p w14:paraId="40207F92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082" w:type="dxa"/>
            <w:noWrap/>
            <w:hideMark/>
          </w:tcPr>
          <w:p w14:paraId="39CAE5E5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865" w:type="dxa"/>
            <w:noWrap/>
            <w:hideMark/>
          </w:tcPr>
          <w:p w14:paraId="37E26493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865" w:type="dxa"/>
            <w:noWrap/>
            <w:hideMark/>
          </w:tcPr>
          <w:p w14:paraId="033921D7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865" w:type="dxa"/>
            <w:noWrap/>
            <w:hideMark/>
          </w:tcPr>
          <w:p w14:paraId="41D3DEB1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865" w:type="dxa"/>
            <w:noWrap/>
            <w:hideMark/>
          </w:tcPr>
          <w:p w14:paraId="7812FEDF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923" w:type="dxa"/>
            <w:noWrap/>
            <w:hideMark/>
          </w:tcPr>
          <w:p w14:paraId="0BC8A84D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</w:tr>
      <w:tr w:rsidR="00EB4D98" w:rsidRPr="00EB4D98" w14:paraId="12113749" w14:textId="77777777" w:rsidTr="0082227C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dxa"/>
            <w:noWrap/>
            <w:hideMark/>
          </w:tcPr>
          <w:p w14:paraId="498B1311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591</w:t>
            </w:r>
          </w:p>
        </w:tc>
        <w:tc>
          <w:tcPr>
            <w:tcW w:w="2253" w:type="dxa"/>
            <w:noWrap/>
            <w:hideMark/>
          </w:tcPr>
          <w:p w14:paraId="7767618B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Neras</w:t>
            </w:r>
            <w:proofErr w:type="spellEnd"/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. Višak prihoda</w:t>
            </w:r>
          </w:p>
        </w:tc>
        <w:tc>
          <w:tcPr>
            <w:tcW w:w="689" w:type="dxa"/>
            <w:noWrap/>
            <w:hideMark/>
          </w:tcPr>
          <w:p w14:paraId="541600B0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14:paraId="6B254F0E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1156B43D" w14:textId="6215227C" w:rsidR="00EB4D98" w:rsidRPr="00EB4D98" w:rsidRDefault="002F509A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1,96</w:t>
            </w:r>
          </w:p>
        </w:tc>
        <w:tc>
          <w:tcPr>
            <w:tcW w:w="865" w:type="dxa"/>
            <w:noWrap/>
            <w:hideMark/>
          </w:tcPr>
          <w:p w14:paraId="464D4E38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1EBE8DD1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0F534BBE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923" w:type="dxa"/>
            <w:noWrap/>
            <w:hideMark/>
          </w:tcPr>
          <w:p w14:paraId="098D7013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3982AFB4" w14:textId="77777777" w:rsidR="00754CCC" w:rsidRDefault="00754CCC" w:rsidP="00754CCC">
      <w:pPr>
        <w:jc w:val="both"/>
        <w:rPr>
          <w:rFonts w:ascii="Arial" w:hAnsi="Arial" w:cs="Arial"/>
          <w:bCs/>
          <w:color w:val="000000"/>
          <w:szCs w:val="22"/>
          <w:lang w:eastAsia="hr-HR"/>
        </w:rPr>
      </w:pPr>
    </w:p>
    <w:p w14:paraId="659B7178" w14:textId="77777777" w:rsidR="00754CCC" w:rsidRDefault="00754CCC" w:rsidP="00754CCC">
      <w:pPr>
        <w:ind w:firstLine="708"/>
        <w:jc w:val="both"/>
        <w:rPr>
          <w:bCs/>
          <w:color w:val="000000"/>
          <w:sz w:val="24"/>
          <w:szCs w:val="24"/>
          <w:lang w:eastAsia="hr-HR"/>
        </w:rPr>
      </w:pPr>
    </w:p>
    <w:p w14:paraId="175CE3B6" w14:textId="77777777" w:rsidR="00754CCC" w:rsidRPr="0070095E" w:rsidRDefault="00754CCC" w:rsidP="00754CCC">
      <w:pPr>
        <w:ind w:firstLine="708"/>
        <w:jc w:val="both"/>
        <w:rPr>
          <w:bCs/>
          <w:color w:val="000000"/>
          <w:sz w:val="24"/>
          <w:szCs w:val="24"/>
          <w:lang w:eastAsia="hr-HR"/>
        </w:rPr>
      </w:pPr>
      <w:r w:rsidRPr="0070095E">
        <w:rPr>
          <w:bCs/>
          <w:color w:val="000000"/>
          <w:sz w:val="24"/>
          <w:szCs w:val="24"/>
          <w:lang w:eastAsia="hr-HR"/>
        </w:rPr>
        <w:t xml:space="preserve">U ovoj tablici prihodi općina dani su u formi i strukturi prihoda i rashoda koja je jednaka načinu prikazivanja tih stavki kada je u pitanju Hercegbosanska županija, koje je dano u poglavlju </w:t>
      </w:r>
      <w:r w:rsidR="00BF6375">
        <w:rPr>
          <w:bCs/>
          <w:color w:val="000000" w:themeColor="text1"/>
          <w:sz w:val="24"/>
          <w:szCs w:val="24"/>
          <w:lang w:eastAsia="hr-HR"/>
        </w:rPr>
        <w:t>3. (tablica 5</w:t>
      </w:r>
      <w:r w:rsidRPr="000B0BCC">
        <w:rPr>
          <w:bCs/>
          <w:color w:val="000000" w:themeColor="text1"/>
          <w:sz w:val="24"/>
          <w:szCs w:val="24"/>
          <w:lang w:eastAsia="hr-HR"/>
        </w:rPr>
        <w:t>.).</w:t>
      </w:r>
    </w:p>
    <w:p w14:paraId="61986BCC" w14:textId="77777777" w:rsidR="00754CCC" w:rsidRPr="0070095E" w:rsidRDefault="00754CCC" w:rsidP="00754CCC">
      <w:pPr>
        <w:jc w:val="both"/>
        <w:rPr>
          <w:bCs/>
          <w:color w:val="000000"/>
          <w:sz w:val="24"/>
          <w:szCs w:val="24"/>
          <w:lang w:eastAsia="hr-HR"/>
        </w:rPr>
      </w:pPr>
    </w:p>
    <w:p w14:paraId="2F6C512B" w14:textId="1360CCBC" w:rsidR="00754CCC" w:rsidRPr="0070095E" w:rsidRDefault="00754CCC" w:rsidP="00754CCC">
      <w:pPr>
        <w:ind w:firstLine="708"/>
        <w:jc w:val="both"/>
        <w:rPr>
          <w:bCs/>
          <w:color w:val="000000"/>
          <w:sz w:val="24"/>
          <w:szCs w:val="24"/>
          <w:lang w:eastAsia="hr-HR"/>
        </w:rPr>
      </w:pPr>
      <w:r w:rsidRPr="0070095E">
        <w:rPr>
          <w:bCs/>
          <w:color w:val="000000"/>
          <w:sz w:val="24"/>
          <w:szCs w:val="24"/>
          <w:lang w:eastAsia="hr-HR"/>
        </w:rPr>
        <w:t>Cilj ovakvog iskaza je svođenje ukupnih podataka za županiju, općine i zavode pri izradi konsolidirane tablice prihoda i rashoda označene kao – Okvirna fiskalna tablica za Hercegbosansku županiju, koja je sastavni dio Dokumenta okvirnog proračuna,</w:t>
      </w:r>
      <w:r w:rsidR="00DD14BB">
        <w:rPr>
          <w:bCs/>
          <w:color w:val="000000"/>
          <w:sz w:val="24"/>
          <w:szCs w:val="24"/>
          <w:lang w:eastAsia="hr-HR"/>
        </w:rPr>
        <w:t xml:space="preserve"> </w:t>
      </w:r>
      <w:r w:rsidRPr="0070095E">
        <w:rPr>
          <w:bCs/>
          <w:color w:val="000000"/>
          <w:sz w:val="24"/>
          <w:szCs w:val="24"/>
          <w:lang w:eastAsia="hr-HR"/>
        </w:rPr>
        <w:t>koju ćemo obraditi u narednom poglavlju Dokumenta okvirnog</w:t>
      </w:r>
      <w:r w:rsidR="00EB4D98">
        <w:rPr>
          <w:bCs/>
          <w:color w:val="000000"/>
          <w:sz w:val="24"/>
          <w:szCs w:val="24"/>
          <w:lang w:eastAsia="hr-HR"/>
        </w:rPr>
        <w:t xml:space="preserve"> proračuna HBŽ za razdoblje 202</w:t>
      </w:r>
      <w:r w:rsidR="00EB27F0">
        <w:rPr>
          <w:bCs/>
          <w:color w:val="000000"/>
          <w:sz w:val="24"/>
          <w:szCs w:val="24"/>
          <w:lang w:eastAsia="hr-HR"/>
        </w:rPr>
        <w:t>7</w:t>
      </w:r>
      <w:r w:rsidR="00EB4D98">
        <w:rPr>
          <w:bCs/>
          <w:color w:val="000000"/>
          <w:sz w:val="24"/>
          <w:szCs w:val="24"/>
          <w:lang w:eastAsia="hr-HR"/>
        </w:rPr>
        <w:t>.-202</w:t>
      </w:r>
      <w:r w:rsidR="00EB27F0">
        <w:rPr>
          <w:bCs/>
          <w:color w:val="000000"/>
          <w:sz w:val="24"/>
          <w:szCs w:val="24"/>
          <w:lang w:eastAsia="hr-HR"/>
        </w:rPr>
        <w:t>9</w:t>
      </w:r>
      <w:r w:rsidRPr="0070095E">
        <w:rPr>
          <w:bCs/>
          <w:color w:val="000000"/>
          <w:sz w:val="24"/>
          <w:szCs w:val="24"/>
          <w:lang w:eastAsia="hr-HR"/>
        </w:rPr>
        <w:t>. godine.</w:t>
      </w:r>
    </w:p>
    <w:p w14:paraId="6972B337" w14:textId="77777777" w:rsidR="00754CCC" w:rsidRDefault="00754CCC" w:rsidP="00754CCC">
      <w:pPr>
        <w:pStyle w:val="Heading2-BFP"/>
      </w:pPr>
    </w:p>
    <w:p w14:paraId="70522197" w14:textId="77777777" w:rsidR="00754CCC" w:rsidRPr="002753E1" w:rsidRDefault="00754CCC" w:rsidP="002753E1">
      <w:pPr>
        <w:spacing w:after="200" w:line="276" w:lineRule="auto"/>
        <w:rPr>
          <w:rFonts w:ascii="Arial" w:hAnsi="Arial" w:cs="Arial"/>
          <w:b/>
          <w:bCs/>
          <w:kern w:val="28"/>
          <w:sz w:val="24"/>
          <w:szCs w:val="22"/>
        </w:rPr>
      </w:pPr>
      <w:r>
        <w:br w:type="page"/>
      </w:r>
    </w:p>
    <w:p w14:paraId="19DF8B2E" w14:textId="13FA4C9B" w:rsidR="00754CCC" w:rsidRPr="00337281" w:rsidRDefault="00877702" w:rsidP="00877702">
      <w:pPr>
        <w:pStyle w:val="Opisslike"/>
        <w:rPr>
          <w:sz w:val="20"/>
          <w:lang w:eastAsia="hr-HR"/>
        </w:rPr>
      </w:pPr>
      <w:bookmarkStart w:id="159" w:name="_Toc106179201"/>
      <w:bookmarkStart w:id="160" w:name="_Toc232407867"/>
      <w:r>
        <w:lastRenderedPageBreak/>
        <w:t xml:space="preserve">Tablica </w:t>
      </w:r>
      <w:r w:rsidR="00D82381">
        <w:fldChar w:fldCharType="begin"/>
      </w:r>
      <w:r w:rsidR="00D82381">
        <w:instrText xml:space="preserve"> SEQ Tablica \* ARABIC </w:instrText>
      </w:r>
      <w:r w:rsidR="00D82381">
        <w:fldChar w:fldCharType="separate"/>
      </w:r>
      <w:r w:rsidR="00A419B0">
        <w:t>19</w:t>
      </w:r>
      <w:r w:rsidR="00D82381">
        <w:fldChar w:fldCharType="end"/>
      </w:r>
      <w:r>
        <w:t xml:space="preserve">. </w:t>
      </w:r>
      <w:r w:rsidR="00754CCC" w:rsidRPr="00337281">
        <w:t>Rashodi o</w:t>
      </w:r>
      <w:r w:rsidR="00EB4D98">
        <w:t>pćina HBŽ-e za razdoblje od 202</w:t>
      </w:r>
      <w:r w:rsidR="00446FFF">
        <w:t>5</w:t>
      </w:r>
      <w:r w:rsidR="00EB4D98">
        <w:t>.-202</w:t>
      </w:r>
      <w:r w:rsidR="00446FFF">
        <w:t>9</w:t>
      </w:r>
      <w:r w:rsidR="00754CCC" w:rsidRPr="00337281">
        <w:t>.g. u mil. KM</w:t>
      </w:r>
      <w:bookmarkEnd w:id="159"/>
      <w:bookmarkEnd w:id="160"/>
      <w:r w:rsidR="00754CCC" w:rsidRPr="00337281">
        <w:rPr>
          <w:sz w:val="20"/>
        </w:rPr>
        <w:t xml:space="preserve"> </w:t>
      </w:r>
    </w:p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920"/>
        <w:gridCol w:w="2145"/>
        <w:gridCol w:w="960"/>
        <w:gridCol w:w="960"/>
        <w:gridCol w:w="960"/>
        <w:gridCol w:w="960"/>
        <w:gridCol w:w="960"/>
        <w:gridCol w:w="960"/>
        <w:gridCol w:w="1113"/>
      </w:tblGrid>
      <w:tr w:rsidR="00EB4D98" w:rsidRPr="00EB4D98" w14:paraId="01354D2C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noWrap/>
            <w:hideMark/>
          </w:tcPr>
          <w:p w14:paraId="2FEB17CA" w14:textId="77777777" w:rsidR="00EB4D98" w:rsidRPr="00EB4D98" w:rsidRDefault="00EB4D98" w:rsidP="00EB4D9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KONTO</w:t>
            </w:r>
          </w:p>
        </w:tc>
        <w:tc>
          <w:tcPr>
            <w:tcW w:w="2120" w:type="dxa"/>
            <w:vMerge w:val="restart"/>
            <w:noWrap/>
            <w:hideMark/>
          </w:tcPr>
          <w:p w14:paraId="68FC5D13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VRSTA RASHODA</w:t>
            </w:r>
          </w:p>
        </w:tc>
        <w:tc>
          <w:tcPr>
            <w:tcW w:w="1920" w:type="dxa"/>
            <w:gridSpan w:val="2"/>
            <w:hideMark/>
          </w:tcPr>
          <w:p w14:paraId="348B80B0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OSTVARENO</w:t>
            </w:r>
          </w:p>
        </w:tc>
        <w:tc>
          <w:tcPr>
            <w:tcW w:w="960" w:type="dxa"/>
            <w:vMerge w:val="restart"/>
            <w:hideMark/>
          </w:tcPr>
          <w:p w14:paraId="66D4B128" w14:textId="1D793988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PLAN 202</w:t>
            </w:r>
            <w:r w:rsidR="00446FFF">
              <w:rPr>
                <w:rFonts w:ascii="Calibri" w:hAnsi="Calibri" w:cs="Calibri"/>
                <w:color w:val="000000"/>
                <w:sz w:val="20"/>
              </w:rPr>
              <w:t>6</w:t>
            </w:r>
            <w:r w:rsidRPr="00EB4D9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2880" w:type="dxa"/>
            <w:gridSpan w:val="3"/>
            <w:noWrap/>
            <w:hideMark/>
          </w:tcPr>
          <w:p w14:paraId="089D47D7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PROJEKCIJA</w:t>
            </w:r>
          </w:p>
        </w:tc>
        <w:tc>
          <w:tcPr>
            <w:tcW w:w="1060" w:type="dxa"/>
            <w:vMerge w:val="restart"/>
            <w:hideMark/>
          </w:tcPr>
          <w:p w14:paraId="14D9C3B2" w14:textId="091CD036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INDEKS 202</w:t>
            </w:r>
            <w:r w:rsidR="00446FFF">
              <w:rPr>
                <w:rFonts w:ascii="Calibri" w:hAnsi="Calibri" w:cs="Calibri"/>
                <w:color w:val="000000"/>
                <w:sz w:val="20"/>
              </w:rPr>
              <w:t>6</w:t>
            </w:r>
            <w:r w:rsidRPr="00EB4D98">
              <w:rPr>
                <w:rFonts w:ascii="Calibri" w:hAnsi="Calibri" w:cs="Calibri"/>
                <w:color w:val="000000"/>
                <w:sz w:val="20"/>
              </w:rPr>
              <w:t>/202</w:t>
            </w:r>
            <w:r w:rsidR="00446FFF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</w:tr>
      <w:tr w:rsidR="00EB4D98" w:rsidRPr="00EB4D98" w14:paraId="5647B6BA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hideMark/>
          </w:tcPr>
          <w:p w14:paraId="74DE4BBA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20" w:type="dxa"/>
            <w:vMerge/>
            <w:hideMark/>
          </w:tcPr>
          <w:p w14:paraId="0F0C0800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60" w:type="dxa"/>
            <w:hideMark/>
          </w:tcPr>
          <w:p w14:paraId="5B9B9687" w14:textId="15955FE2" w:rsidR="00EB4D98" w:rsidRPr="00446FFF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46F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202</w:t>
            </w:r>
            <w:r w:rsidR="00446FFF" w:rsidRPr="00446FF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hideMark/>
          </w:tcPr>
          <w:p w14:paraId="7AEAB186" w14:textId="659EA390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UDIO 202</w:t>
            </w:r>
            <w:r w:rsidR="00446FFF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60" w:type="dxa"/>
            <w:vMerge/>
            <w:hideMark/>
          </w:tcPr>
          <w:p w14:paraId="18A964E2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60" w:type="dxa"/>
            <w:noWrap/>
            <w:hideMark/>
          </w:tcPr>
          <w:p w14:paraId="358FE7AD" w14:textId="0DAF23C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202</w:t>
            </w:r>
            <w:r w:rsidR="00446FFF">
              <w:rPr>
                <w:rFonts w:ascii="Calibri" w:hAnsi="Calibri" w:cs="Calibri"/>
                <w:b/>
                <w:bCs/>
                <w:color w:val="000000"/>
                <w:sz w:val="20"/>
              </w:rPr>
              <w:t>7</w:t>
            </w: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6CB7ACD0" w14:textId="5C4A79D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202</w:t>
            </w:r>
            <w:r w:rsidR="00446FFF">
              <w:rPr>
                <w:rFonts w:ascii="Calibri" w:hAnsi="Calibri" w:cs="Calibri"/>
                <w:b/>
                <w:bCs/>
                <w:color w:val="000000"/>
                <w:sz w:val="20"/>
              </w:rPr>
              <w:t>8</w:t>
            </w: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60" w:type="dxa"/>
            <w:noWrap/>
            <w:hideMark/>
          </w:tcPr>
          <w:p w14:paraId="5D6DA704" w14:textId="0579E0C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202</w:t>
            </w:r>
            <w:r w:rsidR="00446FFF">
              <w:rPr>
                <w:rFonts w:ascii="Calibri" w:hAnsi="Calibri" w:cs="Calibri"/>
                <w:b/>
                <w:bCs/>
                <w:color w:val="000000"/>
                <w:sz w:val="20"/>
              </w:rPr>
              <w:t>9</w:t>
            </w: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060" w:type="dxa"/>
            <w:vMerge/>
            <w:hideMark/>
          </w:tcPr>
          <w:p w14:paraId="52AD1D3E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EB4D98" w:rsidRPr="00EB4D98" w14:paraId="1D011F70" w14:textId="77777777" w:rsidTr="0082227C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839EA4B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00DE083B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UKUPNI RASHODI</w:t>
            </w:r>
          </w:p>
        </w:tc>
        <w:tc>
          <w:tcPr>
            <w:tcW w:w="960" w:type="dxa"/>
            <w:noWrap/>
            <w:hideMark/>
          </w:tcPr>
          <w:p w14:paraId="60EE6FC3" w14:textId="30883192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57,35</w:t>
            </w:r>
          </w:p>
        </w:tc>
        <w:tc>
          <w:tcPr>
            <w:tcW w:w="960" w:type="dxa"/>
            <w:noWrap/>
            <w:hideMark/>
          </w:tcPr>
          <w:p w14:paraId="36426BC0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100,00</w:t>
            </w:r>
          </w:p>
        </w:tc>
        <w:tc>
          <w:tcPr>
            <w:tcW w:w="960" w:type="dxa"/>
            <w:noWrap/>
            <w:hideMark/>
          </w:tcPr>
          <w:p w14:paraId="2D2C76DF" w14:textId="1E1A70EA" w:rsidR="00EB4D98" w:rsidRPr="00EB4D98" w:rsidRDefault="00BD3FC3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76,95</w:t>
            </w:r>
          </w:p>
        </w:tc>
        <w:tc>
          <w:tcPr>
            <w:tcW w:w="960" w:type="dxa"/>
            <w:noWrap/>
            <w:hideMark/>
          </w:tcPr>
          <w:p w14:paraId="1DD925DA" w14:textId="7B0351AC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,07</w:t>
            </w:r>
          </w:p>
        </w:tc>
        <w:tc>
          <w:tcPr>
            <w:tcW w:w="960" w:type="dxa"/>
            <w:noWrap/>
            <w:hideMark/>
          </w:tcPr>
          <w:p w14:paraId="2E8DD1B2" w14:textId="0EE6E34B" w:rsidR="00EB4D98" w:rsidRPr="00EB4D98" w:rsidRDefault="00540AA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60,90</w:t>
            </w:r>
          </w:p>
        </w:tc>
        <w:tc>
          <w:tcPr>
            <w:tcW w:w="960" w:type="dxa"/>
            <w:noWrap/>
            <w:hideMark/>
          </w:tcPr>
          <w:p w14:paraId="11B267AB" w14:textId="1302FC68" w:rsidR="00EB4D98" w:rsidRPr="00EB4D98" w:rsidRDefault="00540AAE" w:rsidP="00540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62,91</w:t>
            </w:r>
          </w:p>
        </w:tc>
        <w:tc>
          <w:tcPr>
            <w:tcW w:w="1060" w:type="dxa"/>
            <w:noWrap/>
            <w:hideMark/>
          </w:tcPr>
          <w:p w14:paraId="043FC1F9" w14:textId="28506D8B" w:rsidR="00EB4D98" w:rsidRPr="00EB4D98" w:rsidRDefault="00DC1ABC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135,16</w:t>
            </w:r>
          </w:p>
        </w:tc>
      </w:tr>
      <w:tr w:rsidR="00EB4D98" w:rsidRPr="00EB4D98" w14:paraId="2E8E05F2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F1FC515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10D895B7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I. TEKUĆA PRIČUVA</w:t>
            </w:r>
          </w:p>
        </w:tc>
        <w:tc>
          <w:tcPr>
            <w:tcW w:w="960" w:type="dxa"/>
            <w:noWrap/>
            <w:hideMark/>
          </w:tcPr>
          <w:p w14:paraId="5FF45436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4F8771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50BBC22" w14:textId="60CD36AB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0,2</w:t>
            </w:r>
            <w:r w:rsidR="007965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5E3D6C7F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75781F9F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1C620EA6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1060" w:type="dxa"/>
            <w:noWrap/>
            <w:hideMark/>
          </w:tcPr>
          <w:p w14:paraId="78D8C1C1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</w:tr>
      <w:tr w:rsidR="00EB4D98" w:rsidRPr="00EB4D98" w14:paraId="0F64FE08" w14:textId="77777777" w:rsidTr="0082227C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1986E012" w14:textId="77777777" w:rsidR="00EB4D98" w:rsidRPr="00EB4D98" w:rsidRDefault="00EB4D98" w:rsidP="00EB4D98">
            <w:pPr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664ECD22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II.TEK.IZDATCI</w:t>
            </w:r>
          </w:p>
        </w:tc>
        <w:tc>
          <w:tcPr>
            <w:tcW w:w="960" w:type="dxa"/>
            <w:noWrap/>
            <w:hideMark/>
          </w:tcPr>
          <w:p w14:paraId="78206CD6" w14:textId="355B6CD8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42,16</w:t>
            </w:r>
          </w:p>
        </w:tc>
        <w:tc>
          <w:tcPr>
            <w:tcW w:w="960" w:type="dxa"/>
            <w:noWrap/>
            <w:hideMark/>
          </w:tcPr>
          <w:p w14:paraId="0EFC45A1" w14:textId="4E32C5D8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73,5</w:t>
            </w:r>
            <w:r w:rsidR="007965FE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F07FCF0" w14:textId="5481B952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49,97</w:t>
            </w:r>
          </w:p>
        </w:tc>
        <w:tc>
          <w:tcPr>
            <w:tcW w:w="960" w:type="dxa"/>
            <w:noWrap/>
            <w:hideMark/>
          </w:tcPr>
          <w:p w14:paraId="707F8004" w14:textId="6AB0FFEF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43,43</w:t>
            </w:r>
          </w:p>
        </w:tc>
        <w:tc>
          <w:tcPr>
            <w:tcW w:w="960" w:type="dxa"/>
            <w:noWrap/>
            <w:hideMark/>
          </w:tcPr>
          <w:p w14:paraId="665F0AF8" w14:textId="520CE5D8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960" w:type="dxa"/>
            <w:noWrap/>
            <w:hideMark/>
          </w:tcPr>
          <w:p w14:paraId="6734AD20" w14:textId="53BF7AEE" w:rsidR="00EB4D98" w:rsidRPr="00EB4D98" w:rsidRDefault="00540AA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46,25</w:t>
            </w:r>
          </w:p>
        </w:tc>
        <w:tc>
          <w:tcPr>
            <w:tcW w:w="1060" w:type="dxa"/>
            <w:noWrap/>
            <w:hideMark/>
          </w:tcPr>
          <w:p w14:paraId="6AE28714" w14:textId="5CFFBE6D" w:rsidR="00EB4D98" w:rsidRPr="00EB4D98" w:rsidRDefault="00DC1ABC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118,52</w:t>
            </w:r>
          </w:p>
        </w:tc>
      </w:tr>
      <w:tr w:rsidR="00EB4D98" w:rsidRPr="00EB4D98" w14:paraId="4DD4938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307244CF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611100</w:t>
            </w:r>
          </w:p>
        </w:tc>
        <w:tc>
          <w:tcPr>
            <w:tcW w:w="2120" w:type="dxa"/>
            <w:noWrap/>
            <w:hideMark/>
          </w:tcPr>
          <w:p w14:paraId="2AC6931D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Bruto plaće</w:t>
            </w:r>
          </w:p>
        </w:tc>
        <w:tc>
          <w:tcPr>
            <w:tcW w:w="960" w:type="dxa"/>
            <w:noWrap/>
            <w:hideMark/>
          </w:tcPr>
          <w:p w14:paraId="1F06982D" w14:textId="32E59718" w:rsidR="00EB4D98" w:rsidRPr="00EB4D98" w:rsidRDefault="007965FE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12,95</w:t>
            </w:r>
          </w:p>
        </w:tc>
        <w:tc>
          <w:tcPr>
            <w:tcW w:w="960" w:type="dxa"/>
            <w:noWrap/>
            <w:hideMark/>
          </w:tcPr>
          <w:p w14:paraId="5B08CB9D" w14:textId="184C8235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22,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58</w:t>
            </w:r>
          </w:p>
        </w:tc>
        <w:tc>
          <w:tcPr>
            <w:tcW w:w="960" w:type="dxa"/>
            <w:noWrap/>
            <w:hideMark/>
          </w:tcPr>
          <w:p w14:paraId="7B783AFF" w14:textId="011982A0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BD3FC3">
              <w:rPr>
                <w:rFonts w:ascii="Calibri" w:hAnsi="Calibri" w:cs="Calibri"/>
                <w:color w:val="000000"/>
                <w:sz w:val="20"/>
              </w:rPr>
              <w:t>5,56</w:t>
            </w:r>
          </w:p>
        </w:tc>
        <w:tc>
          <w:tcPr>
            <w:tcW w:w="960" w:type="dxa"/>
            <w:noWrap/>
            <w:hideMark/>
          </w:tcPr>
          <w:p w14:paraId="4E7C373B" w14:textId="0EAB49CA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3,35</w:t>
            </w:r>
          </w:p>
        </w:tc>
        <w:tc>
          <w:tcPr>
            <w:tcW w:w="960" w:type="dxa"/>
            <w:noWrap/>
            <w:hideMark/>
          </w:tcPr>
          <w:p w14:paraId="0E5FB02C" w14:textId="670EFEF9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3,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75</w:t>
            </w:r>
          </w:p>
        </w:tc>
        <w:tc>
          <w:tcPr>
            <w:tcW w:w="960" w:type="dxa"/>
            <w:noWrap/>
            <w:hideMark/>
          </w:tcPr>
          <w:p w14:paraId="07F64461" w14:textId="6869E853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4,20</w:t>
            </w:r>
          </w:p>
        </w:tc>
        <w:tc>
          <w:tcPr>
            <w:tcW w:w="1060" w:type="dxa"/>
            <w:noWrap/>
            <w:hideMark/>
          </w:tcPr>
          <w:p w14:paraId="0DAA0027" w14:textId="159CFADB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DC1ABC">
              <w:rPr>
                <w:rFonts w:ascii="Calibri" w:hAnsi="Calibri" w:cs="Calibri"/>
                <w:color w:val="000000"/>
                <w:szCs w:val="22"/>
              </w:rPr>
              <w:t>20,50</w:t>
            </w:r>
          </w:p>
        </w:tc>
      </w:tr>
      <w:tr w:rsidR="00EB4D98" w:rsidRPr="00EB4D98" w14:paraId="3830020B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6F2BDD08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611200</w:t>
            </w:r>
          </w:p>
        </w:tc>
        <w:tc>
          <w:tcPr>
            <w:tcW w:w="2120" w:type="dxa"/>
            <w:noWrap/>
            <w:hideMark/>
          </w:tcPr>
          <w:p w14:paraId="00CB70F3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Naknade </w:t>
            </w:r>
          </w:p>
        </w:tc>
        <w:tc>
          <w:tcPr>
            <w:tcW w:w="960" w:type="dxa"/>
            <w:noWrap/>
            <w:hideMark/>
          </w:tcPr>
          <w:p w14:paraId="17B8C344" w14:textId="4BCC7290" w:rsidR="00EB4D98" w:rsidRPr="00EB4D98" w:rsidRDefault="00524C2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2,</w:t>
            </w:r>
            <w:r w:rsidR="007965FE">
              <w:rPr>
                <w:rFonts w:ascii="Calibri" w:hAnsi="Calibri" w:cs="Calibri"/>
                <w:color w:val="000000"/>
                <w:sz w:val="20"/>
              </w:rPr>
              <w:t>43</w:t>
            </w:r>
          </w:p>
        </w:tc>
        <w:tc>
          <w:tcPr>
            <w:tcW w:w="960" w:type="dxa"/>
            <w:noWrap/>
            <w:hideMark/>
          </w:tcPr>
          <w:p w14:paraId="2627C8E5" w14:textId="556DAC6C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4,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960" w:type="dxa"/>
            <w:noWrap/>
            <w:hideMark/>
          </w:tcPr>
          <w:p w14:paraId="5F52B937" w14:textId="31340F43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2,</w:t>
            </w:r>
            <w:r w:rsidR="00BD3FC3">
              <w:rPr>
                <w:rFonts w:ascii="Calibri" w:hAnsi="Calibri" w:cs="Calibri"/>
                <w:color w:val="000000"/>
                <w:sz w:val="20"/>
              </w:rPr>
              <w:t>97</w:t>
            </w:r>
          </w:p>
        </w:tc>
        <w:tc>
          <w:tcPr>
            <w:tcW w:w="960" w:type="dxa"/>
            <w:noWrap/>
            <w:hideMark/>
          </w:tcPr>
          <w:p w14:paraId="03986823" w14:textId="2DFFFE3A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2,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51</w:t>
            </w:r>
          </w:p>
        </w:tc>
        <w:tc>
          <w:tcPr>
            <w:tcW w:w="960" w:type="dxa"/>
            <w:noWrap/>
            <w:hideMark/>
          </w:tcPr>
          <w:p w14:paraId="08DFA6CA" w14:textId="6E79B28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2,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5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70E3CF9" w14:textId="2A2748E6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2,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67</w:t>
            </w:r>
          </w:p>
        </w:tc>
        <w:tc>
          <w:tcPr>
            <w:tcW w:w="1060" w:type="dxa"/>
            <w:noWrap/>
            <w:hideMark/>
          </w:tcPr>
          <w:p w14:paraId="4845C8AA" w14:textId="3F056F15" w:rsidR="00EB4D98" w:rsidRPr="00EB4D98" w:rsidRDefault="00DC1ABC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122,22</w:t>
            </w:r>
          </w:p>
        </w:tc>
      </w:tr>
      <w:tr w:rsidR="00EB4D98" w:rsidRPr="00EB4D98" w14:paraId="613B9E1E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4CB2322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612000</w:t>
            </w:r>
          </w:p>
        </w:tc>
        <w:tc>
          <w:tcPr>
            <w:tcW w:w="2120" w:type="dxa"/>
            <w:noWrap/>
            <w:hideMark/>
          </w:tcPr>
          <w:p w14:paraId="200F9F9A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Dopr.poslodavca</w:t>
            </w:r>
            <w:proofErr w:type="spellEnd"/>
          </w:p>
        </w:tc>
        <w:tc>
          <w:tcPr>
            <w:tcW w:w="960" w:type="dxa"/>
            <w:noWrap/>
            <w:hideMark/>
          </w:tcPr>
          <w:p w14:paraId="126A9F08" w14:textId="2D6B6DA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1,</w:t>
            </w:r>
            <w:r w:rsidR="00524C20"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F639F58" w14:textId="364AC4D8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2,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09</w:t>
            </w:r>
          </w:p>
        </w:tc>
        <w:tc>
          <w:tcPr>
            <w:tcW w:w="960" w:type="dxa"/>
            <w:noWrap/>
            <w:hideMark/>
          </w:tcPr>
          <w:p w14:paraId="4BE4B79A" w14:textId="706804CB" w:rsidR="00EB4D98" w:rsidRPr="00EB4D98" w:rsidRDefault="00BD3FC3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0,90</w:t>
            </w:r>
          </w:p>
        </w:tc>
        <w:tc>
          <w:tcPr>
            <w:tcW w:w="960" w:type="dxa"/>
            <w:noWrap/>
            <w:hideMark/>
          </w:tcPr>
          <w:p w14:paraId="20647779" w14:textId="016732CF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1,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07</w:t>
            </w:r>
          </w:p>
        </w:tc>
        <w:tc>
          <w:tcPr>
            <w:tcW w:w="960" w:type="dxa"/>
            <w:noWrap/>
            <w:hideMark/>
          </w:tcPr>
          <w:p w14:paraId="49481F58" w14:textId="00D47495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6EE74A42" w14:textId="41AA78D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060" w:type="dxa"/>
            <w:noWrap/>
            <w:hideMark/>
          </w:tcPr>
          <w:p w14:paraId="3A18B745" w14:textId="07556D57" w:rsidR="00EB4D98" w:rsidRPr="00EB4D98" w:rsidRDefault="00DC1ABC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75,00</w:t>
            </w:r>
          </w:p>
        </w:tc>
      </w:tr>
      <w:tr w:rsidR="00EB4D98" w:rsidRPr="00EB4D98" w14:paraId="2C63BA9A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72DCCC0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613000</w:t>
            </w:r>
          </w:p>
        </w:tc>
        <w:tc>
          <w:tcPr>
            <w:tcW w:w="2120" w:type="dxa"/>
            <w:noWrap/>
            <w:hideMark/>
          </w:tcPr>
          <w:p w14:paraId="4314B226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Mat.troškovi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0331D3" w14:textId="059E28F5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7,45</w:t>
            </w:r>
          </w:p>
        </w:tc>
        <w:tc>
          <w:tcPr>
            <w:tcW w:w="960" w:type="dxa"/>
            <w:noWrap/>
            <w:hideMark/>
          </w:tcPr>
          <w:p w14:paraId="719B3335" w14:textId="3D722493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12,9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A086400" w14:textId="480F26F4" w:rsidR="00EB4D98" w:rsidRPr="00EB4D98" w:rsidRDefault="00BD3FC3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8,08</w:t>
            </w:r>
          </w:p>
        </w:tc>
        <w:tc>
          <w:tcPr>
            <w:tcW w:w="960" w:type="dxa"/>
            <w:noWrap/>
            <w:hideMark/>
          </w:tcPr>
          <w:p w14:paraId="5EF135A1" w14:textId="611BFA2A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7,84</w:t>
            </w:r>
          </w:p>
        </w:tc>
        <w:tc>
          <w:tcPr>
            <w:tcW w:w="960" w:type="dxa"/>
            <w:noWrap/>
            <w:hideMark/>
          </w:tcPr>
          <w:p w14:paraId="66A35553" w14:textId="78F10A77" w:rsidR="00EB4D98" w:rsidRPr="00EB4D98" w:rsidRDefault="00540AA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8,06</w:t>
            </w:r>
          </w:p>
        </w:tc>
        <w:tc>
          <w:tcPr>
            <w:tcW w:w="960" w:type="dxa"/>
            <w:noWrap/>
            <w:hideMark/>
          </w:tcPr>
          <w:p w14:paraId="230D4A50" w14:textId="6EDB4EB8" w:rsidR="00EB4D98" w:rsidRPr="00EB4D98" w:rsidRDefault="00540AA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8,35</w:t>
            </w:r>
          </w:p>
        </w:tc>
        <w:tc>
          <w:tcPr>
            <w:tcW w:w="1060" w:type="dxa"/>
            <w:noWrap/>
            <w:hideMark/>
          </w:tcPr>
          <w:p w14:paraId="4FE8ADE3" w14:textId="0BED008F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10</w:t>
            </w:r>
            <w:r w:rsidR="00DC1ABC">
              <w:rPr>
                <w:rFonts w:ascii="Calibri" w:hAnsi="Calibri" w:cs="Calibri"/>
                <w:color w:val="000000"/>
                <w:szCs w:val="22"/>
              </w:rPr>
              <w:t>8,46</w:t>
            </w:r>
          </w:p>
        </w:tc>
      </w:tr>
      <w:tr w:rsidR="00EB4D98" w:rsidRPr="00EB4D98" w14:paraId="47EF5729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8FA7752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614000</w:t>
            </w:r>
          </w:p>
        </w:tc>
        <w:tc>
          <w:tcPr>
            <w:tcW w:w="2120" w:type="dxa"/>
            <w:noWrap/>
            <w:hideMark/>
          </w:tcPr>
          <w:p w14:paraId="0BC0424F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Tekuće potpore</w:t>
            </w:r>
          </w:p>
        </w:tc>
        <w:tc>
          <w:tcPr>
            <w:tcW w:w="960" w:type="dxa"/>
            <w:noWrap/>
            <w:hideMark/>
          </w:tcPr>
          <w:p w14:paraId="69BC890B" w14:textId="1EADD045" w:rsidR="00EB4D98" w:rsidRPr="00EB4D98" w:rsidRDefault="00524C20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7965FE">
              <w:rPr>
                <w:rFonts w:ascii="Calibri" w:hAnsi="Calibri" w:cs="Calibri"/>
                <w:color w:val="000000"/>
                <w:sz w:val="20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00E25B9E" w14:textId="110CCE3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2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7,03</w:t>
            </w:r>
          </w:p>
        </w:tc>
        <w:tc>
          <w:tcPr>
            <w:tcW w:w="960" w:type="dxa"/>
            <w:noWrap/>
            <w:hideMark/>
          </w:tcPr>
          <w:p w14:paraId="06E1701A" w14:textId="1812677B" w:rsidR="00EB4D98" w:rsidRPr="00EB4D98" w:rsidRDefault="00BD3FC3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17,80</w:t>
            </w:r>
          </w:p>
        </w:tc>
        <w:tc>
          <w:tcPr>
            <w:tcW w:w="960" w:type="dxa"/>
            <w:noWrap/>
            <w:hideMark/>
          </w:tcPr>
          <w:p w14:paraId="119655AA" w14:textId="1AA96FEA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5,96</w:t>
            </w:r>
          </w:p>
        </w:tc>
        <w:tc>
          <w:tcPr>
            <w:tcW w:w="960" w:type="dxa"/>
            <w:noWrap/>
            <w:hideMark/>
          </w:tcPr>
          <w:p w14:paraId="4F610CEC" w14:textId="30AAC462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6,46</w:t>
            </w:r>
          </w:p>
        </w:tc>
        <w:tc>
          <w:tcPr>
            <w:tcW w:w="960" w:type="dxa"/>
            <w:noWrap/>
            <w:hideMark/>
          </w:tcPr>
          <w:p w14:paraId="593997BB" w14:textId="0FC2AEE6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1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7,00</w:t>
            </w:r>
          </w:p>
        </w:tc>
        <w:tc>
          <w:tcPr>
            <w:tcW w:w="1060" w:type="dxa"/>
            <w:noWrap/>
            <w:hideMark/>
          </w:tcPr>
          <w:p w14:paraId="117EC8F0" w14:textId="35C8FA0C" w:rsidR="00EB4D98" w:rsidRPr="00EB4D98" w:rsidRDefault="00DC1ABC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114,84</w:t>
            </w:r>
          </w:p>
        </w:tc>
      </w:tr>
      <w:tr w:rsidR="00EB4D98" w:rsidRPr="00EB4D98" w14:paraId="543C6CEE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3EF8DAC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615000</w:t>
            </w:r>
          </w:p>
        </w:tc>
        <w:tc>
          <w:tcPr>
            <w:tcW w:w="2120" w:type="dxa"/>
            <w:noWrap/>
            <w:hideMark/>
          </w:tcPr>
          <w:p w14:paraId="581AC7CA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Kapitalne potpore</w:t>
            </w:r>
          </w:p>
        </w:tc>
        <w:tc>
          <w:tcPr>
            <w:tcW w:w="960" w:type="dxa"/>
            <w:noWrap/>
            <w:hideMark/>
          </w:tcPr>
          <w:p w14:paraId="166F7517" w14:textId="1724F107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4CEBABA0" w14:textId="4C44A6D9" w:rsidR="00EB4D98" w:rsidRPr="00EB4D98" w:rsidRDefault="007965F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4,15</w:t>
            </w:r>
          </w:p>
        </w:tc>
        <w:tc>
          <w:tcPr>
            <w:tcW w:w="960" w:type="dxa"/>
            <w:noWrap/>
            <w:hideMark/>
          </w:tcPr>
          <w:p w14:paraId="082402C7" w14:textId="678019FD" w:rsidR="00EB4D98" w:rsidRPr="00EB4D98" w:rsidRDefault="00BD3FC3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688B441D" w14:textId="49623ED0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2,45</w:t>
            </w:r>
          </w:p>
        </w:tc>
        <w:tc>
          <w:tcPr>
            <w:tcW w:w="960" w:type="dxa"/>
            <w:noWrap/>
            <w:hideMark/>
          </w:tcPr>
          <w:p w14:paraId="41C0F2BD" w14:textId="3F2CE431" w:rsidR="00EB4D98" w:rsidRPr="00EB4D98" w:rsidRDefault="00A552D0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53</w:t>
            </w:r>
          </w:p>
        </w:tc>
        <w:tc>
          <w:tcPr>
            <w:tcW w:w="960" w:type="dxa"/>
            <w:noWrap/>
            <w:hideMark/>
          </w:tcPr>
          <w:p w14:paraId="222D0D36" w14:textId="5BB3A899" w:rsidR="00EB4D98" w:rsidRPr="00EB4D98" w:rsidRDefault="00540AAE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2,61</w:t>
            </w:r>
          </w:p>
        </w:tc>
        <w:tc>
          <w:tcPr>
            <w:tcW w:w="1060" w:type="dxa"/>
            <w:noWrap/>
            <w:hideMark/>
          </w:tcPr>
          <w:p w14:paraId="35608E36" w14:textId="42AD210B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DC1ABC">
              <w:rPr>
                <w:rFonts w:ascii="Calibri" w:hAnsi="Calibri" w:cs="Calibri"/>
                <w:color w:val="000000"/>
                <w:szCs w:val="22"/>
              </w:rPr>
              <w:t>83,19</w:t>
            </w:r>
          </w:p>
        </w:tc>
      </w:tr>
      <w:tr w:rsidR="00EB4D98" w:rsidRPr="00EB4D98" w14:paraId="2B148EBF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D2BD2F5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616000</w:t>
            </w:r>
          </w:p>
        </w:tc>
        <w:tc>
          <w:tcPr>
            <w:tcW w:w="2120" w:type="dxa"/>
            <w:noWrap/>
            <w:hideMark/>
          </w:tcPr>
          <w:p w14:paraId="0548DB72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Izdatci za kamate</w:t>
            </w:r>
          </w:p>
        </w:tc>
        <w:tc>
          <w:tcPr>
            <w:tcW w:w="960" w:type="dxa"/>
            <w:noWrap/>
            <w:hideMark/>
          </w:tcPr>
          <w:p w14:paraId="5717611B" w14:textId="6008B2BE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</w:t>
            </w:r>
            <w:r w:rsidR="007965FE"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36F52798" w14:textId="3AAD1106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</w:t>
            </w:r>
            <w:r w:rsidR="007965FE">
              <w:rPr>
                <w:rFonts w:ascii="Calibri" w:hAnsi="Calibri" w:cs="Calibri"/>
                <w:color w:val="000000"/>
                <w:szCs w:val="22"/>
              </w:rPr>
              <w:t>44</w:t>
            </w:r>
          </w:p>
        </w:tc>
        <w:tc>
          <w:tcPr>
            <w:tcW w:w="960" w:type="dxa"/>
            <w:noWrap/>
            <w:hideMark/>
          </w:tcPr>
          <w:p w14:paraId="75FCC370" w14:textId="184ECFB4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</w:t>
            </w:r>
            <w:r w:rsidR="00BD3FC3"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7CE29BFD" w14:textId="29046B1A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C87464D" w14:textId="48E19271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</w:t>
            </w:r>
            <w:r w:rsidR="00A552D0">
              <w:rPr>
                <w:rFonts w:ascii="Calibri" w:hAnsi="Calibri" w:cs="Calibri"/>
                <w:color w:val="000000"/>
                <w:sz w:val="20"/>
              </w:rPr>
              <w:t>2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CA0C886" w14:textId="0699596A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</w:t>
            </w:r>
            <w:r w:rsidR="00540AAE">
              <w:rPr>
                <w:rFonts w:ascii="Calibri" w:hAnsi="Calibri" w:cs="Calibri"/>
                <w:color w:val="000000"/>
                <w:sz w:val="20"/>
              </w:rPr>
              <w:t>27</w:t>
            </w:r>
          </w:p>
        </w:tc>
        <w:tc>
          <w:tcPr>
            <w:tcW w:w="1060" w:type="dxa"/>
            <w:noWrap/>
            <w:hideMark/>
          </w:tcPr>
          <w:p w14:paraId="0F397A46" w14:textId="216C447B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1</w:t>
            </w:r>
            <w:r w:rsidR="00DC1ABC">
              <w:rPr>
                <w:rFonts w:ascii="Calibri" w:hAnsi="Calibri" w:cs="Calibri"/>
                <w:color w:val="000000"/>
                <w:szCs w:val="22"/>
              </w:rPr>
              <w:t>20,00</w:t>
            </w:r>
          </w:p>
        </w:tc>
      </w:tr>
      <w:tr w:rsidR="00EB4D98" w:rsidRPr="00EB4D98" w14:paraId="36A2693F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4EB4FB85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680000</w:t>
            </w:r>
          </w:p>
        </w:tc>
        <w:tc>
          <w:tcPr>
            <w:tcW w:w="2120" w:type="dxa"/>
            <w:noWrap/>
            <w:hideMark/>
          </w:tcPr>
          <w:p w14:paraId="1021F7C2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Rash.iz</w:t>
            </w:r>
            <w:proofErr w:type="spellEnd"/>
            <w:r w:rsidRPr="00EB4D98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B4D98">
              <w:rPr>
                <w:rFonts w:ascii="Calibri" w:hAnsi="Calibri" w:cs="Calibri"/>
                <w:color w:val="000000"/>
                <w:szCs w:val="22"/>
              </w:rPr>
              <w:t>int.odnosa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2A8A2C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35037268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6048D101" w14:textId="29F013E2" w:rsidR="00EB4D98" w:rsidRPr="00EB4D98" w:rsidRDefault="00BD3FC3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6487004F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2A23B496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36D3A8D2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color w:val="000000"/>
                <w:sz w:val="20"/>
              </w:rPr>
              <w:t>0,00</w:t>
            </w:r>
          </w:p>
        </w:tc>
        <w:tc>
          <w:tcPr>
            <w:tcW w:w="1060" w:type="dxa"/>
            <w:noWrap/>
            <w:hideMark/>
          </w:tcPr>
          <w:p w14:paraId="71006152" w14:textId="77777777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0,00</w:t>
            </w:r>
          </w:p>
        </w:tc>
      </w:tr>
      <w:tr w:rsidR="00EB4D98" w:rsidRPr="00EB4D98" w14:paraId="4156548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0FAC6371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821000</w:t>
            </w:r>
          </w:p>
        </w:tc>
        <w:tc>
          <w:tcPr>
            <w:tcW w:w="2120" w:type="dxa"/>
            <w:noWrap/>
            <w:hideMark/>
          </w:tcPr>
          <w:p w14:paraId="636F9973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III.KAPIT.IZDATCI</w:t>
            </w:r>
          </w:p>
        </w:tc>
        <w:tc>
          <w:tcPr>
            <w:tcW w:w="960" w:type="dxa"/>
            <w:noWrap/>
            <w:hideMark/>
          </w:tcPr>
          <w:p w14:paraId="4B5EC1D8" w14:textId="68297059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7965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960" w:type="dxa"/>
            <w:noWrap/>
            <w:hideMark/>
          </w:tcPr>
          <w:p w14:paraId="0D3F58FC" w14:textId="10232AD8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  <w:r w:rsidR="007965FE">
              <w:rPr>
                <w:rFonts w:ascii="Calibri" w:hAnsi="Calibri" w:cs="Calibri"/>
                <w:b/>
                <w:bCs/>
                <w:color w:val="000000"/>
                <w:szCs w:val="22"/>
              </w:rPr>
              <w:t>4,35</w:t>
            </w:r>
          </w:p>
        </w:tc>
        <w:tc>
          <w:tcPr>
            <w:tcW w:w="960" w:type="dxa"/>
            <w:noWrap/>
            <w:hideMark/>
          </w:tcPr>
          <w:p w14:paraId="52456309" w14:textId="5CA6921C" w:rsidR="00EB4D98" w:rsidRPr="00EB4D98" w:rsidRDefault="00BD3FC3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960" w:type="dxa"/>
            <w:noWrap/>
            <w:hideMark/>
          </w:tcPr>
          <w:p w14:paraId="4AF51F8B" w14:textId="60DA7E19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A552D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960" w:type="dxa"/>
            <w:noWrap/>
            <w:hideMark/>
          </w:tcPr>
          <w:p w14:paraId="38C7F814" w14:textId="222F15DC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960" w:type="dxa"/>
            <w:noWrap/>
            <w:hideMark/>
          </w:tcPr>
          <w:p w14:paraId="6A84F646" w14:textId="4657A988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1060" w:type="dxa"/>
            <w:noWrap/>
            <w:hideMark/>
          </w:tcPr>
          <w:p w14:paraId="09E8C190" w14:textId="03B7FABB" w:rsidR="00EB4D98" w:rsidRPr="00EB4D98" w:rsidRDefault="00DC1ABC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182,10</w:t>
            </w:r>
          </w:p>
        </w:tc>
      </w:tr>
      <w:tr w:rsidR="00EB4D98" w:rsidRPr="00EB4D98" w14:paraId="2E2DAD19" w14:textId="77777777" w:rsidTr="0082227C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7F5A71F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823000</w:t>
            </w:r>
          </w:p>
        </w:tc>
        <w:tc>
          <w:tcPr>
            <w:tcW w:w="2120" w:type="dxa"/>
            <w:noWrap/>
            <w:hideMark/>
          </w:tcPr>
          <w:p w14:paraId="16190F34" w14:textId="77777777" w:rsidR="00EB4D98" w:rsidRPr="00EB4D98" w:rsidRDefault="00EB4D98" w:rsidP="00EB4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IV.OTPL.POZAJMLJ.</w:t>
            </w:r>
          </w:p>
        </w:tc>
        <w:tc>
          <w:tcPr>
            <w:tcW w:w="960" w:type="dxa"/>
            <w:noWrap/>
            <w:hideMark/>
          </w:tcPr>
          <w:p w14:paraId="5A69078B" w14:textId="4A5C8236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1,2</w:t>
            </w:r>
            <w:r w:rsidR="007965F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A534E8B" w14:textId="0658BE21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2,</w:t>
            </w:r>
            <w:r w:rsidR="007965FE">
              <w:rPr>
                <w:rFonts w:ascii="Calibri" w:hAnsi="Calibri" w:cs="Calibri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60" w:type="dxa"/>
            <w:noWrap/>
            <w:hideMark/>
          </w:tcPr>
          <w:p w14:paraId="38F8E551" w14:textId="33CBE671" w:rsidR="00EB4D98" w:rsidRPr="00EB4D98" w:rsidRDefault="00BD3FC3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960" w:type="dxa"/>
            <w:noWrap/>
            <w:hideMark/>
          </w:tcPr>
          <w:p w14:paraId="3F821E75" w14:textId="566A8CCB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</w:t>
            </w:r>
            <w:r w:rsidR="00A552D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7DD733A9" w14:textId="1D73921C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noWrap/>
            <w:hideMark/>
          </w:tcPr>
          <w:p w14:paraId="43E5CD56" w14:textId="76A7347A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1,</w:t>
            </w:r>
            <w:r w:rsidR="00540A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0" w:type="dxa"/>
            <w:noWrap/>
            <w:hideMark/>
          </w:tcPr>
          <w:p w14:paraId="6203284B" w14:textId="69144458" w:rsidR="00EB4D98" w:rsidRPr="00EB4D98" w:rsidRDefault="00EB4D98" w:rsidP="00EB4D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  <w:r w:rsidR="00DC1ABC">
              <w:rPr>
                <w:rFonts w:ascii="Calibri" w:hAnsi="Calibri" w:cs="Calibri"/>
                <w:b/>
                <w:bCs/>
                <w:color w:val="000000"/>
                <w:szCs w:val="22"/>
              </w:rPr>
              <w:t>05,74</w:t>
            </w:r>
          </w:p>
        </w:tc>
      </w:tr>
      <w:tr w:rsidR="00EB4D98" w:rsidRPr="00EB4D98" w14:paraId="30687412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noWrap/>
            <w:hideMark/>
          </w:tcPr>
          <w:p w14:paraId="2956687B" w14:textId="77777777" w:rsidR="00EB4D98" w:rsidRPr="00EB4D98" w:rsidRDefault="00EB4D98" w:rsidP="00EB4D9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591000</w:t>
            </w:r>
          </w:p>
        </w:tc>
        <w:tc>
          <w:tcPr>
            <w:tcW w:w="2120" w:type="dxa"/>
            <w:noWrap/>
            <w:hideMark/>
          </w:tcPr>
          <w:p w14:paraId="72F30CB3" w14:textId="77777777" w:rsidR="00EB4D98" w:rsidRPr="00EB4D98" w:rsidRDefault="00EB4D98" w:rsidP="00EB4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V. FINAN. DEFICITA</w:t>
            </w:r>
          </w:p>
        </w:tc>
        <w:tc>
          <w:tcPr>
            <w:tcW w:w="960" w:type="dxa"/>
            <w:noWrap/>
            <w:hideMark/>
          </w:tcPr>
          <w:p w14:paraId="713B1CF2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3D25BBD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81623D3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469180A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ECC0EED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5656507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5DE18998" w14:textId="77777777" w:rsidR="00EB4D98" w:rsidRPr="00EB4D98" w:rsidRDefault="00EB4D98" w:rsidP="00EB4D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B4D98">
              <w:rPr>
                <w:rFonts w:ascii="Calibri" w:hAnsi="Calibri" w:cs="Calibri"/>
                <w:b/>
                <w:bCs/>
                <w:color w:val="000000"/>
                <w:szCs w:val="22"/>
              </w:rPr>
              <w:t>0,00</w:t>
            </w:r>
          </w:p>
        </w:tc>
      </w:tr>
    </w:tbl>
    <w:p w14:paraId="3239A6F0" w14:textId="77777777" w:rsidR="00754CCC" w:rsidRDefault="00754CCC" w:rsidP="00754CCC">
      <w:pPr>
        <w:pStyle w:val="Heading2-BFP"/>
      </w:pPr>
    </w:p>
    <w:p w14:paraId="68C61B34" w14:textId="45E10961" w:rsidR="00754CCC" w:rsidRPr="009A1159" w:rsidRDefault="009A1159" w:rsidP="009A11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Izdatci za plaće, </w:t>
      </w:r>
      <w:r w:rsidR="00754CCC" w:rsidRPr="005F4C96">
        <w:rPr>
          <w:sz w:val="24"/>
          <w:szCs w:val="24"/>
        </w:rPr>
        <w:t>naknade</w:t>
      </w:r>
      <w:r>
        <w:rPr>
          <w:sz w:val="24"/>
          <w:szCs w:val="24"/>
        </w:rPr>
        <w:t xml:space="preserve"> i doprinose</w:t>
      </w:r>
      <w:r w:rsidR="00754CCC" w:rsidRPr="005F4C96">
        <w:rPr>
          <w:sz w:val="24"/>
          <w:szCs w:val="24"/>
        </w:rPr>
        <w:t xml:space="preserve"> uposlenih djelatnika u općinama iznose </w:t>
      </w:r>
      <w:r w:rsidR="00EB4D98">
        <w:rPr>
          <w:sz w:val="24"/>
          <w:szCs w:val="24"/>
        </w:rPr>
        <w:t>1</w:t>
      </w:r>
      <w:r w:rsidR="00540AAE">
        <w:rPr>
          <w:sz w:val="24"/>
          <w:szCs w:val="24"/>
        </w:rPr>
        <w:t>6,58</w:t>
      </w:r>
      <w:r w:rsidR="00754CCC" w:rsidRPr="005F4C96">
        <w:rPr>
          <w:sz w:val="24"/>
          <w:szCs w:val="24"/>
        </w:rPr>
        <w:t xml:space="preserve"> </w:t>
      </w:r>
      <w:proofErr w:type="spellStart"/>
      <w:r w:rsidR="00754CCC" w:rsidRPr="005F4C96">
        <w:rPr>
          <w:sz w:val="24"/>
          <w:szCs w:val="24"/>
        </w:rPr>
        <w:t>mil</w:t>
      </w:r>
      <w:proofErr w:type="spellEnd"/>
      <w:r w:rsidR="00754CCC" w:rsidRPr="005F4C96">
        <w:rPr>
          <w:sz w:val="24"/>
          <w:szCs w:val="24"/>
        </w:rPr>
        <w:t xml:space="preserve">. KM ili </w:t>
      </w:r>
      <w:r w:rsidR="00EB4D98">
        <w:rPr>
          <w:sz w:val="24"/>
          <w:szCs w:val="24"/>
        </w:rPr>
        <w:t>28,</w:t>
      </w:r>
      <w:r w:rsidR="00540AAE">
        <w:rPr>
          <w:sz w:val="24"/>
          <w:szCs w:val="24"/>
        </w:rPr>
        <w:t>91</w:t>
      </w:r>
      <w:r w:rsidR="00754CCC" w:rsidRPr="005F4C96">
        <w:rPr>
          <w:sz w:val="24"/>
          <w:szCs w:val="24"/>
        </w:rPr>
        <w:t>% u odnosu na ukupne rashode i izdatke u i</w:t>
      </w:r>
      <w:r w:rsidR="00EB4D98">
        <w:rPr>
          <w:sz w:val="24"/>
          <w:szCs w:val="24"/>
        </w:rPr>
        <w:t>zvršenju proračuna općina u 202</w:t>
      </w:r>
      <w:r w:rsidR="00540AAE">
        <w:rPr>
          <w:sz w:val="24"/>
          <w:szCs w:val="24"/>
        </w:rPr>
        <w:t>5</w:t>
      </w:r>
      <w:r w:rsidR="00754CCC" w:rsidRPr="005F4C96">
        <w:rPr>
          <w:sz w:val="24"/>
          <w:szCs w:val="24"/>
        </w:rPr>
        <w:t>. godini. Dakle, struktura izdataka za plaće i naknade kod općina daleko je povoljnija nego struktura istih kod Hercegbosanske županije.</w:t>
      </w:r>
    </w:p>
    <w:p w14:paraId="130E87D0" w14:textId="77777777" w:rsidR="00754CCC" w:rsidRPr="00754CCC" w:rsidRDefault="00754CCC" w:rsidP="00754CCC"/>
    <w:p w14:paraId="2F7CFBF3" w14:textId="77777777" w:rsidR="00754CCC" w:rsidRPr="00754CCC" w:rsidRDefault="00754CCC" w:rsidP="00754CCC"/>
    <w:p w14:paraId="68DA5465" w14:textId="77777777" w:rsidR="00754CCC" w:rsidRPr="00754CCC" w:rsidRDefault="00754CCC" w:rsidP="00754CCC"/>
    <w:p w14:paraId="1AE48C99" w14:textId="77777777" w:rsidR="00754CCC" w:rsidRDefault="00754CCC" w:rsidP="00754CCC"/>
    <w:p w14:paraId="4CF27E42" w14:textId="77777777" w:rsidR="00754CCC" w:rsidRDefault="00754CCC">
      <w:pPr>
        <w:spacing w:after="200" w:line="276" w:lineRule="auto"/>
      </w:pPr>
      <w:r>
        <w:br w:type="page"/>
      </w:r>
    </w:p>
    <w:p w14:paraId="0DE2780E" w14:textId="0AAC6B4B" w:rsidR="00754CCC" w:rsidRDefault="00754CCC" w:rsidP="00754CCC">
      <w:pPr>
        <w:pStyle w:val="Naslov1"/>
      </w:pPr>
      <w:bookmarkStart w:id="161" w:name="_Toc191322362"/>
      <w:bookmarkStart w:id="162" w:name="_Toc197340798"/>
      <w:bookmarkStart w:id="163" w:name="_Toc127870883"/>
      <w:bookmarkStart w:id="164" w:name="_Toc192320788"/>
      <w:bookmarkStart w:id="165" w:name="_Toc106015354"/>
      <w:bookmarkStart w:id="166" w:name="_Toc232407847"/>
      <w:r>
        <w:lastRenderedPageBreak/>
        <w:t xml:space="preserve">Privitak: </w:t>
      </w:r>
      <w:bookmarkStart w:id="167" w:name="_Toc191322363"/>
      <w:bookmarkEnd w:id="161"/>
      <w:r>
        <w:t>Okvirna fiskalna tablica Hercegbosanske županije za</w:t>
      </w:r>
      <w:r w:rsidR="00E21B19">
        <w:t xml:space="preserve"> </w:t>
      </w:r>
      <w:r w:rsidR="00EB4D98">
        <w:t>razdoblje  202</w:t>
      </w:r>
      <w:r w:rsidR="00540AAE">
        <w:t>5</w:t>
      </w:r>
      <w:r w:rsidR="00EB4D98">
        <w:t>.-202</w:t>
      </w:r>
      <w:r w:rsidR="00540AAE">
        <w:t>9</w:t>
      </w:r>
      <w:r>
        <w:t xml:space="preserve">.g. (u </w:t>
      </w:r>
      <w:proofErr w:type="spellStart"/>
      <w:r>
        <w:t>mil</w:t>
      </w:r>
      <w:proofErr w:type="spellEnd"/>
      <w:r>
        <w:t>. KM)</w:t>
      </w:r>
      <w:bookmarkEnd w:id="162"/>
      <w:bookmarkEnd w:id="163"/>
      <w:bookmarkEnd w:id="164"/>
      <w:bookmarkEnd w:id="165"/>
      <w:bookmarkEnd w:id="167"/>
      <w:bookmarkEnd w:id="166"/>
    </w:p>
    <w:p w14:paraId="40870F54" w14:textId="77777777" w:rsidR="0048552E" w:rsidRDefault="0048552E" w:rsidP="0048552E"/>
    <w:p w14:paraId="4CC23876" w14:textId="77777777" w:rsidR="0048552E" w:rsidRPr="0048552E" w:rsidRDefault="0048552E" w:rsidP="0048552E"/>
    <w:p w14:paraId="44246EE7" w14:textId="77777777" w:rsidR="00C21FC6" w:rsidRPr="00C21FC6" w:rsidRDefault="00C21FC6" w:rsidP="00C21FC6"/>
    <w:tbl>
      <w:tblPr>
        <w:tblStyle w:val="Svijetlipopis-Isticanje11"/>
        <w:tblW w:w="9923" w:type="dxa"/>
        <w:jc w:val="center"/>
        <w:tblLook w:val="04A0" w:firstRow="1" w:lastRow="0" w:firstColumn="1" w:lastColumn="0" w:noHBand="0" w:noVBand="1"/>
      </w:tblPr>
      <w:tblGrid>
        <w:gridCol w:w="4503"/>
        <w:gridCol w:w="1108"/>
        <w:gridCol w:w="1078"/>
        <w:gridCol w:w="1078"/>
        <w:gridCol w:w="1078"/>
        <w:gridCol w:w="1078"/>
      </w:tblGrid>
      <w:tr w:rsidR="00EB4D98" w:rsidRPr="00EB4D98" w14:paraId="1DEC9F27" w14:textId="77777777" w:rsidTr="0082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vMerge w:val="restart"/>
            <w:noWrap/>
            <w:hideMark/>
          </w:tcPr>
          <w:p w14:paraId="44BF6823" w14:textId="77777777" w:rsidR="00EB4D98" w:rsidRPr="00EB4D98" w:rsidRDefault="00EB4D98" w:rsidP="00EB4D98">
            <w:pPr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E0AE6D8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Izvršenje</w:t>
            </w:r>
          </w:p>
        </w:tc>
        <w:tc>
          <w:tcPr>
            <w:tcW w:w="960" w:type="dxa"/>
            <w:noWrap/>
            <w:hideMark/>
          </w:tcPr>
          <w:p w14:paraId="0346EE66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Plan</w:t>
            </w:r>
          </w:p>
        </w:tc>
        <w:tc>
          <w:tcPr>
            <w:tcW w:w="2880" w:type="dxa"/>
            <w:gridSpan w:val="3"/>
            <w:noWrap/>
            <w:hideMark/>
          </w:tcPr>
          <w:p w14:paraId="53347155" w14:textId="77777777" w:rsidR="00EB4D98" w:rsidRPr="00EB4D98" w:rsidRDefault="00EB4D98" w:rsidP="00EB4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Projekcije</w:t>
            </w:r>
          </w:p>
        </w:tc>
      </w:tr>
      <w:tr w:rsidR="00EB4D98" w:rsidRPr="00EB4D98" w14:paraId="60059E9B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vMerge/>
            <w:hideMark/>
          </w:tcPr>
          <w:p w14:paraId="19A25A69" w14:textId="77777777" w:rsidR="00EB4D98" w:rsidRPr="00EB4D98" w:rsidRDefault="00EB4D98" w:rsidP="00EB4D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hideMark/>
          </w:tcPr>
          <w:p w14:paraId="04732D50" w14:textId="6E93CBC0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EB27F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hideMark/>
          </w:tcPr>
          <w:p w14:paraId="519E0E42" w14:textId="0ED06A0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EB27F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hideMark/>
          </w:tcPr>
          <w:p w14:paraId="3795DCA8" w14:textId="2F0D3F70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EB27F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hideMark/>
          </w:tcPr>
          <w:p w14:paraId="0B3EFB57" w14:textId="128A385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EB27F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60" w:type="dxa"/>
            <w:hideMark/>
          </w:tcPr>
          <w:p w14:paraId="0A3CF813" w14:textId="44C0C57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EB27F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EB4D98" w:rsidRPr="00EB4D98" w14:paraId="1DE99549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52A298DE" w14:textId="77777777" w:rsidR="00EB4D98" w:rsidRPr="00EB4D98" w:rsidRDefault="00EB4D98" w:rsidP="00EB4D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UKUPNI PRIHODI (A+B+C)</w:t>
            </w:r>
          </w:p>
        </w:tc>
        <w:tc>
          <w:tcPr>
            <w:tcW w:w="960" w:type="dxa"/>
            <w:noWrap/>
            <w:hideMark/>
          </w:tcPr>
          <w:p w14:paraId="42CF6074" w14:textId="35EDF331" w:rsidR="00EB4D98" w:rsidRPr="00EB4D98" w:rsidRDefault="00B021F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1F8">
              <w:rPr>
                <w:rFonts w:ascii="Arial" w:hAnsi="Arial" w:cs="Arial"/>
                <w:b/>
                <w:bCs/>
                <w:sz w:val="18"/>
                <w:szCs w:val="18"/>
              </w:rPr>
              <w:t>247,67</w:t>
            </w:r>
          </w:p>
        </w:tc>
        <w:tc>
          <w:tcPr>
            <w:tcW w:w="960" w:type="dxa"/>
            <w:noWrap/>
            <w:hideMark/>
          </w:tcPr>
          <w:p w14:paraId="28B419E2" w14:textId="662B4EE0" w:rsidR="00EB4D98" w:rsidRPr="00EB4D98" w:rsidRDefault="00B021F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1F8">
              <w:rPr>
                <w:rFonts w:ascii="Arial" w:hAnsi="Arial" w:cs="Arial"/>
                <w:b/>
                <w:bCs/>
                <w:sz w:val="18"/>
                <w:szCs w:val="18"/>
              </w:rPr>
              <w:t>292,77</w:t>
            </w:r>
          </w:p>
        </w:tc>
        <w:tc>
          <w:tcPr>
            <w:tcW w:w="960" w:type="dxa"/>
            <w:noWrap/>
            <w:hideMark/>
          </w:tcPr>
          <w:p w14:paraId="2051C17B" w14:textId="0AC246DA" w:rsidR="00EB4D98" w:rsidRPr="00EB4D98" w:rsidRDefault="0075511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277,</w:t>
            </w:r>
            <w:r w:rsidR="00D94EA1">
              <w:rPr>
                <w:rFonts w:ascii="Arial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960" w:type="dxa"/>
            <w:noWrap/>
            <w:hideMark/>
          </w:tcPr>
          <w:p w14:paraId="7B783F02" w14:textId="1A6FA452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94EA1">
              <w:rPr>
                <w:rFonts w:ascii="Arial" w:hAnsi="Arial" w:cs="Arial"/>
                <w:b/>
                <w:bCs/>
                <w:sz w:val="18"/>
                <w:szCs w:val="18"/>
              </w:rPr>
              <w:t>88,50</w:t>
            </w:r>
          </w:p>
        </w:tc>
        <w:tc>
          <w:tcPr>
            <w:tcW w:w="960" w:type="dxa"/>
            <w:noWrap/>
            <w:hideMark/>
          </w:tcPr>
          <w:p w14:paraId="4F1619D3" w14:textId="60A2953B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301,08</w:t>
            </w:r>
          </w:p>
        </w:tc>
      </w:tr>
      <w:tr w:rsidR="00EB4D98" w:rsidRPr="00EB4D98" w14:paraId="4C26AA7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2510DEFF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A. UKUPNI PRIHODI ŽUPANIJE</w:t>
            </w:r>
          </w:p>
        </w:tc>
        <w:tc>
          <w:tcPr>
            <w:tcW w:w="960" w:type="dxa"/>
            <w:noWrap/>
            <w:hideMark/>
          </w:tcPr>
          <w:p w14:paraId="1347AF6F" w14:textId="03102F9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20"/>
              </w:rPr>
              <w:t>34,00</w:t>
            </w:r>
          </w:p>
        </w:tc>
        <w:tc>
          <w:tcPr>
            <w:tcW w:w="960" w:type="dxa"/>
            <w:noWrap/>
            <w:hideMark/>
          </w:tcPr>
          <w:p w14:paraId="40220426" w14:textId="597021C9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20"/>
              </w:rPr>
              <w:t>55,36</w:t>
            </w:r>
          </w:p>
        </w:tc>
        <w:tc>
          <w:tcPr>
            <w:tcW w:w="960" w:type="dxa"/>
            <w:noWrap/>
            <w:hideMark/>
          </w:tcPr>
          <w:p w14:paraId="740602F0" w14:textId="772891A9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20"/>
              </w:rPr>
              <w:t>60,74</w:t>
            </w:r>
          </w:p>
        </w:tc>
        <w:tc>
          <w:tcPr>
            <w:tcW w:w="960" w:type="dxa"/>
            <w:noWrap/>
            <w:hideMark/>
          </w:tcPr>
          <w:p w14:paraId="25ABA8ED" w14:textId="00D27692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167</w:t>
            </w:r>
            <w:r w:rsidR="00755116">
              <w:rPr>
                <w:rFonts w:ascii="Arial" w:hAnsi="Arial" w:cs="Arial"/>
                <w:b/>
                <w:bCs/>
                <w:color w:val="000000"/>
                <w:sz w:val="20"/>
              </w:rPr>
              <w:t>,79</w:t>
            </w:r>
          </w:p>
        </w:tc>
        <w:tc>
          <w:tcPr>
            <w:tcW w:w="960" w:type="dxa"/>
            <w:noWrap/>
            <w:hideMark/>
          </w:tcPr>
          <w:p w14:paraId="457C49C3" w14:textId="15CAEC5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20"/>
              </w:rPr>
              <w:t>76,39</w:t>
            </w:r>
          </w:p>
        </w:tc>
      </w:tr>
      <w:tr w:rsidR="00EB4D98" w:rsidRPr="00EB4D98" w14:paraId="43CC0AB4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2673F6D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 Porezni prihodi županije</w:t>
            </w:r>
          </w:p>
        </w:tc>
        <w:tc>
          <w:tcPr>
            <w:tcW w:w="960" w:type="dxa"/>
            <w:noWrap/>
            <w:hideMark/>
          </w:tcPr>
          <w:p w14:paraId="4DF8ED0C" w14:textId="0F61E42D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960" w:type="dxa"/>
            <w:noWrap/>
            <w:hideMark/>
          </w:tcPr>
          <w:p w14:paraId="61AAC4E5" w14:textId="1B3014C0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127,26</w:t>
            </w:r>
          </w:p>
        </w:tc>
        <w:tc>
          <w:tcPr>
            <w:tcW w:w="960" w:type="dxa"/>
            <w:noWrap/>
            <w:hideMark/>
          </w:tcPr>
          <w:p w14:paraId="6F50665F" w14:textId="5725862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35,04</w:t>
            </w:r>
          </w:p>
        </w:tc>
        <w:tc>
          <w:tcPr>
            <w:tcW w:w="960" w:type="dxa"/>
            <w:noWrap/>
            <w:hideMark/>
          </w:tcPr>
          <w:p w14:paraId="7A743AE7" w14:textId="257B104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960" w:type="dxa"/>
            <w:noWrap/>
            <w:hideMark/>
          </w:tcPr>
          <w:p w14:paraId="58049B70" w14:textId="247AB46C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50,06</w:t>
            </w:r>
          </w:p>
        </w:tc>
      </w:tr>
      <w:tr w:rsidR="00EB4D98" w:rsidRPr="00EB4D98" w14:paraId="40469CA5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5C36E44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promet i prihodi sa računa UIO – neto</w:t>
            </w:r>
          </w:p>
        </w:tc>
        <w:tc>
          <w:tcPr>
            <w:tcW w:w="960" w:type="dxa"/>
            <w:noWrap/>
            <w:hideMark/>
          </w:tcPr>
          <w:p w14:paraId="3569D622" w14:textId="15DF440A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97,81</w:t>
            </w:r>
          </w:p>
        </w:tc>
        <w:tc>
          <w:tcPr>
            <w:tcW w:w="960" w:type="dxa"/>
            <w:noWrap/>
            <w:hideMark/>
          </w:tcPr>
          <w:p w14:paraId="3848AF5E" w14:textId="27465FEA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101,00</w:t>
            </w:r>
          </w:p>
        </w:tc>
        <w:tc>
          <w:tcPr>
            <w:tcW w:w="960" w:type="dxa"/>
            <w:noWrap/>
            <w:hideMark/>
          </w:tcPr>
          <w:p w14:paraId="577C7AE5" w14:textId="0EDB20C2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108,32</w:t>
            </w:r>
          </w:p>
        </w:tc>
        <w:tc>
          <w:tcPr>
            <w:tcW w:w="960" w:type="dxa"/>
            <w:noWrap/>
            <w:hideMark/>
          </w:tcPr>
          <w:p w14:paraId="5D83838C" w14:textId="14F24847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114,31</w:t>
            </w:r>
          </w:p>
        </w:tc>
        <w:tc>
          <w:tcPr>
            <w:tcW w:w="960" w:type="dxa"/>
            <w:noWrap/>
            <w:hideMark/>
          </w:tcPr>
          <w:p w14:paraId="195A8254" w14:textId="33291CBF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sz w:val="18"/>
                <w:szCs w:val="18"/>
              </w:rPr>
              <w:t>20,86</w:t>
            </w:r>
          </w:p>
        </w:tc>
      </w:tr>
      <w:tr w:rsidR="00EB4D98" w:rsidRPr="00EB4D98" w14:paraId="13DB4DAF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FF42E65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Neizravni porezi-Uprava za ceste</w:t>
            </w:r>
          </w:p>
        </w:tc>
        <w:tc>
          <w:tcPr>
            <w:tcW w:w="960" w:type="dxa"/>
            <w:noWrap/>
            <w:hideMark/>
          </w:tcPr>
          <w:p w14:paraId="05A4CB56" w14:textId="2FB8858E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E19526C" w14:textId="424D9FAB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3,6</w:t>
            </w:r>
            <w:r w:rsidR="005A31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C7BCB35" w14:textId="2F8C46D8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4,</w:t>
            </w:r>
            <w:r w:rsidR="005A31B8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442F7F27" w14:textId="25702E93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5,07</w:t>
            </w:r>
          </w:p>
        </w:tc>
        <w:tc>
          <w:tcPr>
            <w:tcW w:w="960" w:type="dxa"/>
            <w:noWrap/>
            <w:hideMark/>
          </w:tcPr>
          <w:p w14:paraId="6D2DDF45" w14:textId="07141CAE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5,34</w:t>
            </w:r>
          </w:p>
        </w:tc>
      </w:tr>
      <w:tr w:rsidR="00EB4D98" w:rsidRPr="00EB4D98" w14:paraId="14152524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5F3FF08A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poslovnu dobit</w:t>
            </w:r>
          </w:p>
        </w:tc>
        <w:tc>
          <w:tcPr>
            <w:tcW w:w="960" w:type="dxa"/>
            <w:noWrap/>
            <w:hideMark/>
          </w:tcPr>
          <w:p w14:paraId="32FBC04A" w14:textId="5D88F0D2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9,05</w:t>
            </w:r>
          </w:p>
        </w:tc>
        <w:tc>
          <w:tcPr>
            <w:tcW w:w="960" w:type="dxa"/>
            <w:noWrap/>
            <w:hideMark/>
          </w:tcPr>
          <w:p w14:paraId="7F0CAEC5" w14:textId="40BEF85B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9,19</w:t>
            </w:r>
          </w:p>
        </w:tc>
        <w:tc>
          <w:tcPr>
            <w:tcW w:w="960" w:type="dxa"/>
            <w:noWrap/>
            <w:hideMark/>
          </w:tcPr>
          <w:p w14:paraId="2499BE3E" w14:textId="673125F5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8,13</w:t>
            </w:r>
          </w:p>
        </w:tc>
        <w:tc>
          <w:tcPr>
            <w:tcW w:w="960" w:type="dxa"/>
            <w:noWrap/>
            <w:hideMark/>
          </w:tcPr>
          <w:p w14:paraId="392421F9" w14:textId="67A66D07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8,15</w:t>
            </w:r>
          </w:p>
        </w:tc>
        <w:tc>
          <w:tcPr>
            <w:tcW w:w="960" w:type="dxa"/>
            <w:noWrap/>
            <w:hideMark/>
          </w:tcPr>
          <w:p w14:paraId="3A3811F1" w14:textId="21D271C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8,</w:t>
            </w:r>
            <w:r w:rsidR="005A31B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EB4D98" w:rsidRPr="00EB4D98" w14:paraId="2A83C6EB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A3EA0B6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građana</w:t>
            </w:r>
          </w:p>
        </w:tc>
        <w:tc>
          <w:tcPr>
            <w:tcW w:w="960" w:type="dxa"/>
            <w:noWrap/>
            <w:hideMark/>
          </w:tcPr>
          <w:p w14:paraId="1FA8164C" w14:textId="77E6CA3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960" w:type="dxa"/>
            <w:noWrap/>
            <w:hideMark/>
          </w:tcPr>
          <w:p w14:paraId="0E6C3396" w14:textId="0303FC1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60" w:type="dxa"/>
            <w:noWrap/>
            <w:hideMark/>
          </w:tcPr>
          <w:p w14:paraId="6803AA07" w14:textId="323BFB2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60" w:type="dxa"/>
            <w:noWrap/>
            <w:hideMark/>
          </w:tcPr>
          <w:p w14:paraId="6F9EB2A5" w14:textId="255587F2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960" w:type="dxa"/>
            <w:noWrap/>
            <w:hideMark/>
          </w:tcPr>
          <w:p w14:paraId="3638578F" w14:textId="6D68BC7B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</w:tr>
      <w:tr w:rsidR="00EB4D98" w:rsidRPr="00EB4D98" w14:paraId="35FC965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C72E12B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plaću/dohodak</w:t>
            </w:r>
          </w:p>
        </w:tc>
        <w:tc>
          <w:tcPr>
            <w:tcW w:w="960" w:type="dxa"/>
            <w:noWrap/>
            <w:hideMark/>
          </w:tcPr>
          <w:p w14:paraId="7E34E025" w14:textId="770C7F8B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11,65</w:t>
            </w:r>
          </w:p>
        </w:tc>
        <w:tc>
          <w:tcPr>
            <w:tcW w:w="960" w:type="dxa"/>
            <w:noWrap/>
            <w:hideMark/>
          </w:tcPr>
          <w:p w14:paraId="4D87EE1E" w14:textId="59D0AC63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12,42</w:t>
            </w:r>
          </w:p>
        </w:tc>
        <w:tc>
          <w:tcPr>
            <w:tcW w:w="960" w:type="dxa"/>
            <w:noWrap/>
            <w:hideMark/>
          </w:tcPr>
          <w:p w14:paraId="72C6C658" w14:textId="12AC110D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12,68</w:t>
            </w:r>
          </w:p>
        </w:tc>
        <w:tc>
          <w:tcPr>
            <w:tcW w:w="960" w:type="dxa"/>
            <w:noWrap/>
            <w:hideMark/>
          </w:tcPr>
          <w:p w14:paraId="4EB408D1" w14:textId="0796227B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sz w:val="18"/>
                <w:szCs w:val="18"/>
              </w:rPr>
              <w:t>3,58</w:t>
            </w:r>
          </w:p>
        </w:tc>
        <w:tc>
          <w:tcPr>
            <w:tcW w:w="960" w:type="dxa"/>
            <w:noWrap/>
            <w:hideMark/>
          </w:tcPr>
          <w:p w14:paraId="6BC314A9" w14:textId="32A0493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sz w:val="18"/>
                <w:szCs w:val="18"/>
              </w:rPr>
              <w:t>4,56</w:t>
            </w:r>
          </w:p>
        </w:tc>
      </w:tr>
      <w:tr w:rsidR="00EB4D98" w:rsidRPr="00EB4D98" w14:paraId="73A2A9BE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61FBC9A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Ostali porezni prihodi</w:t>
            </w:r>
          </w:p>
        </w:tc>
        <w:tc>
          <w:tcPr>
            <w:tcW w:w="960" w:type="dxa"/>
            <w:noWrap/>
            <w:hideMark/>
          </w:tcPr>
          <w:p w14:paraId="7A934099" w14:textId="515950E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60" w:type="dxa"/>
            <w:noWrap/>
            <w:hideMark/>
          </w:tcPr>
          <w:p w14:paraId="7E2239EB" w14:textId="7A20D752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5A31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0214F4D2" w14:textId="7C27236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5A31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900C6EC" w14:textId="3CB6F618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5A31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DDC3324" w14:textId="4958B9A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5A31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B4D98" w:rsidRPr="00EB4D98" w14:paraId="7BA47968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256CAAB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Neporezni prihodi županije</w:t>
            </w:r>
          </w:p>
        </w:tc>
        <w:tc>
          <w:tcPr>
            <w:tcW w:w="960" w:type="dxa"/>
            <w:noWrap/>
            <w:hideMark/>
          </w:tcPr>
          <w:p w14:paraId="16A9EAA6" w14:textId="3D758E37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7,20</w:t>
            </w:r>
          </w:p>
        </w:tc>
        <w:tc>
          <w:tcPr>
            <w:tcW w:w="960" w:type="dxa"/>
            <w:noWrap/>
            <w:hideMark/>
          </w:tcPr>
          <w:p w14:paraId="0F9BA4B2" w14:textId="71E008A7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10,39</w:t>
            </w:r>
          </w:p>
        </w:tc>
        <w:tc>
          <w:tcPr>
            <w:tcW w:w="960" w:type="dxa"/>
            <w:noWrap/>
            <w:hideMark/>
          </w:tcPr>
          <w:p w14:paraId="6109F197" w14:textId="4F40323E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10,69</w:t>
            </w:r>
          </w:p>
        </w:tc>
        <w:tc>
          <w:tcPr>
            <w:tcW w:w="960" w:type="dxa"/>
            <w:noWrap/>
            <w:hideMark/>
          </w:tcPr>
          <w:p w14:paraId="55861F25" w14:textId="4B9E011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960" w:type="dxa"/>
            <w:noWrap/>
            <w:hideMark/>
          </w:tcPr>
          <w:p w14:paraId="1565C0DC" w14:textId="7FB3952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b/>
                <w:bCs/>
                <w:sz w:val="18"/>
                <w:szCs w:val="18"/>
              </w:rPr>
              <w:t>1,34</w:t>
            </w:r>
          </w:p>
        </w:tc>
      </w:tr>
      <w:tr w:rsidR="00EB4D98" w:rsidRPr="00EB4D98" w14:paraId="6B5831DF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FD2818A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Prihod od poduzetničke imovine</w:t>
            </w:r>
          </w:p>
        </w:tc>
        <w:tc>
          <w:tcPr>
            <w:tcW w:w="960" w:type="dxa"/>
            <w:noWrap/>
            <w:hideMark/>
          </w:tcPr>
          <w:p w14:paraId="79C08796" w14:textId="699D1E1A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60" w:type="dxa"/>
            <w:noWrap/>
            <w:hideMark/>
          </w:tcPr>
          <w:p w14:paraId="6A1E7A74" w14:textId="54EF20B3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2,25</w:t>
            </w:r>
          </w:p>
        </w:tc>
        <w:tc>
          <w:tcPr>
            <w:tcW w:w="960" w:type="dxa"/>
            <w:noWrap/>
            <w:hideMark/>
          </w:tcPr>
          <w:p w14:paraId="2E4CA2D0" w14:textId="3B3B267A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3,37</w:t>
            </w:r>
          </w:p>
        </w:tc>
        <w:tc>
          <w:tcPr>
            <w:tcW w:w="960" w:type="dxa"/>
            <w:noWrap/>
            <w:hideMark/>
          </w:tcPr>
          <w:p w14:paraId="4D0EC3E7" w14:textId="43101FF1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2,39</w:t>
            </w:r>
          </w:p>
        </w:tc>
        <w:tc>
          <w:tcPr>
            <w:tcW w:w="960" w:type="dxa"/>
            <w:noWrap/>
            <w:hideMark/>
          </w:tcPr>
          <w:p w14:paraId="4A7E538D" w14:textId="38A23546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2,46</w:t>
            </w:r>
          </w:p>
        </w:tc>
      </w:tr>
      <w:tr w:rsidR="00EB4D98" w:rsidRPr="00EB4D98" w14:paraId="18FFB26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17E1633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Takse, naknade i kazne</w:t>
            </w:r>
          </w:p>
        </w:tc>
        <w:tc>
          <w:tcPr>
            <w:tcW w:w="960" w:type="dxa"/>
            <w:noWrap/>
            <w:hideMark/>
          </w:tcPr>
          <w:p w14:paraId="4D266271" w14:textId="3BE3FDDA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4,6</w:t>
            </w:r>
            <w:r w:rsidR="005A31B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49B6091" w14:textId="1F5748F8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7,11</w:t>
            </w:r>
          </w:p>
        </w:tc>
        <w:tc>
          <w:tcPr>
            <w:tcW w:w="960" w:type="dxa"/>
            <w:noWrap/>
            <w:hideMark/>
          </w:tcPr>
          <w:p w14:paraId="67D47A82" w14:textId="5D687B76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7,32</w:t>
            </w:r>
          </w:p>
        </w:tc>
        <w:tc>
          <w:tcPr>
            <w:tcW w:w="960" w:type="dxa"/>
            <w:noWrap/>
            <w:hideMark/>
          </w:tcPr>
          <w:p w14:paraId="5D6CB347" w14:textId="2701A376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7,54</w:t>
            </w:r>
          </w:p>
        </w:tc>
        <w:tc>
          <w:tcPr>
            <w:tcW w:w="960" w:type="dxa"/>
            <w:noWrap/>
            <w:hideMark/>
          </w:tcPr>
          <w:p w14:paraId="2E2693C5" w14:textId="0A62A77A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7,</w:t>
            </w:r>
            <w:r w:rsidR="005A31B8"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EB4D98" w:rsidRPr="00EB4D98" w14:paraId="67CC3177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246BD7FC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Novčane kazne</w:t>
            </w:r>
          </w:p>
        </w:tc>
        <w:tc>
          <w:tcPr>
            <w:tcW w:w="960" w:type="dxa"/>
            <w:noWrap/>
            <w:hideMark/>
          </w:tcPr>
          <w:p w14:paraId="5849ABB9" w14:textId="04E7DF6B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1,61</w:t>
            </w:r>
          </w:p>
        </w:tc>
        <w:tc>
          <w:tcPr>
            <w:tcW w:w="960" w:type="dxa"/>
            <w:noWrap/>
            <w:hideMark/>
          </w:tcPr>
          <w:p w14:paraId="1D4DB57F" w14:textId="2D829DAE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960" w:type="dxa"/>
            <w:noWrap/>
            <w:hideMark/>
          </w:tcPr>
          <w:p w14:paraId="49388215" w14:textId="57511CCD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1,06</w:t>
            </w:r>
          </w:p>
        </w:tc>
        <w:tc>
          <w:tcPr>
            <w:tcW w:w="960" w:type="dxa"/>
            <w:noWrap/>
            <w:hideMark/>
          </w:tcPr>
          <w:p w14:paraId="17E33B45" w14:textId="5924EF6D" w:rsidR="00EB4D98" w:rsidRPr="00EB4D98" w:rsidRDefault="005A31B8" w:rsidP="005A3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1,09</w:t>
            </w:r>
          </w:p>
        </w:tc>
        <w:tc>
          <w:tcPr>
            <w:tcW w:w="960" w:type="dxa"/>
            <w:noWrap/>
            <w:hideMark/>
          </w:tcPr>
          <w:p w14:paraId="03657F2A" w14:textId="3F9F50C2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</w:tr>
      <w:tr w:rsidR="00EB4D98" w:rsidRPr="00EB4D98" w14:paraId="68F3CFC1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F929FD0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Potpore-tekuće</w:t>
            </w:r>
          </w:p>
        </w:tc>
        <w:tc>
          <w:tcPr>
            <w:tcW w:w="960" w:type="dxa"/>
            <w:noWrap/>
            <w:hideMark/>
          </w:tcPr>
          <w:p w14:paraId="5709B285" w14:textId="3DDC26B6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6,57</w:t>
            </w:r>
          </w:p>
        </w:tc>
        <w:tc>
          <w:tcPr>
            <w:tcW w:w="960" w:type="dxa"/>
            <w:noWrap/>
            <w:hideMark/>
          </w:tcPr>
          <w:p w14:paraId="2A128EDB" w14:textId="6D6C4BD0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5A31B8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960" w:type="dxa"/>
            <w:noWrap/>
            <w:hideMark/>
          </w:tcPr>
          <w:p w14:paraId="24FF28AC" w14:textId="4D41988F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10,35</w:t>
            </w:r>
          </w:p>
        </w:tc>
        <w:tc>
          <w:tcPr>
            <w:tcW w:w="960" w:type="dxa"/>
            <w:noWrap/>
            <w:hideMark/>
          </w:tcPr>
          <w:p w14:paraId="6BC82267" w14:textId="2A1B65A1" w:rsidR="00EB4D98" w:rsidRPr="00EB4D98" w:rsidRDefault="005A31B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10,82</w:t>
            </w:r>
          </w:p>
        </w:tc>
        <w:tc>
          <w:tcPr>
            <w:tcW w:w="960" w:type="dxa"/>
            <w:noWrap/>
            <w:hideMark/>
          </w:tcPr>
          <w:p w14:paraId="77DCB40A" w14:textId="645DE586" w:rsidR="00EB4D98" w:rsidRPr="00EB4D98" w:rsidRDefault="0003308B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11,14</w:t>
            </w:r>
          </w:p>
        </w:tc>
      </w:tr>
      <w:tr w:rsidR="00EB4D98" w:rsidRPr="00EB4D98" w14:paraId="5E312F68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C75FD25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Donacije</w:t>
            </w:r>
          </w:p>
        </w:tc>
        <w:tc>
          <w:tcPr>
            <w:tcW w:w="960" w:type="dxa"/>
            <w:noWrap/>
            <w:hideMark/>
          </w:tcPr>
          <w:p w14:paraId="057D7313" w14:textId="1940742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5A31B8">
              <w:rPr>
                <w:rFonts w:ascii="Arial" w:hAnsi="Arial" w:cs="Arial"/>
                <w:sz w:val="18"/>
                <w:szCs w:val="18"/>
              </w:rPr>
              <w:t>,11</w:t>
            </w:r>
          </w:p>
        </w:tc>
        <w:tc>
          <w:tcPr>
            <w:tcW w:w="960" w:type="dxa"/>
            <w:noWrap/>
            <w:hideMark/>
          </w:tcPr>
          <w:p w14:paraId="38B4527B" w14:textId="6FCF4D21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3,52</w:t>
            </w:r>
          </w:p>
        </w:tc>
        <w:tc>
          <w:tcPr>
            <w:tcW w:w="960" w:type="dxa"/>
            <w:noWrap/>
            <w:hideMark/>
          </w:tcPr>
          <w:p w14:paraId="78CD0375" w14:textId="4B80A401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3,60</w:t>
            </w:r>
          </w:p>
        </w:tc>
        <w:tc>
          <w:tcPr>
            <w:tcW w:w="960" w:type="dxa"/>
            <w:noWrap/>
            <w:hideMark/>
          </w:tcPr>
          <w:p w14:paraId="6C0AAA58" w14:textId="3F8C5378" w:rsidR="00EB4D98" w:rsidRPr="00EB4D98" w:rsidRDefault="005A31B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3,74</w:t>
            </w:r>
          </w:p>
        </w:tc>
        <w:tc>
          <w:tcPr>
            <w:tcW w:w="960" w:type="dxa"/>
            <w:noWrap/>
            <w:hideMark/>
          </w:tcPr>
          <w:p w14:paraId="7035E222" w14:textId="55194E05" w:rsidR="00EB4D98" w:rsidRPr="00EB4D98" w:rsidRDefault="0003308B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</w:tr>
      <w:tr w:rsidR="00EB4D98" w:rsidRPr="00EB4D98" w14:paraId="308682E0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FF488C4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Kapitalne potpore</w:t>
            </w:r>
          </w:p>
        </w:tc>
        <w:tc>
          <w:tcPr>
            <w:tcW w:w="960" w:type="dxa"/>
            <w:noWrap/>
            <w:hideMark/>
          </w:tcPr>
          <w:p w14:paraId="032F94D5" w14:textId="0A36C2F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60" w:type="dxa"/>
            <w:noWrap/>
            <w:hideMark/>
          </w:tcPr>
          <w:p w14:paraId="536D69BF" w14:textId="4F7675B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5A31B8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960" w:type="dxa"/>
            <w:noWrap/>
            <w:hideMark/>
          </w:tcPr>
          <w:p w14:paraId="277EB156" w14:textId="0CAA457F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5A31B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265FEC4" w14:textId="24BF778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0330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DEB8CD4" w14:textId="569510C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03308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B4D98" w:rsidRPr="00EB4D98" w14:paraId="34F1FD04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3578765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Ostali neporezni prihodi</w:t>
            </w:r>
          </w:p>
        </w:tc>
        <w:tc>
          <w:tcPr>
            <w:tcW w:w="960" w:type="dxa"/>
            <w:noWrap/>
            <w:hideMark/>
          </w:tcPr>
          <w:p w14:paraId="3FF1F420" w14:textId="71E19893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02F3F93" w14:textId="775B8D35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5A31B8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960" w:type="dxa"/>
            <w:noWrap/>
            <w:hideMark/>
          </w:tcPr>
          <w:p w14:paraId="6FA6BCF9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AAC7CBD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63A483B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B4D98" w:rsidRPr="00EB4D98" w14:paraId="0908CE79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284466A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B. IZVANPRORAČUNSKI FONDOVI</w:t>
            </w:r>
          </w:p>
        </w:tc>
        <w:tc>
          <w:tcPr>
            <w:tcW w:w="960" w:type="dxa"/>
            <w:noWrap/>
            <w:hideMark/>
          </w:tcPr>
          <w:p w14:paraId="678E20AE" w14:textId="6B7D782D" w:rsidR="00EB4D98" w:rsidRPr="00EB4D98" w:rsidRDefault="0003308B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56,61</w:t>
            </w:r>
          </w:p>
        </w:tc>
        <w:tc>
          <w:tcPr>
            <w:tcW w:w="960" w:type="dxa"/>
            <w:noWrap/>
            <w:hideMark/>
          </w:tcPr>
          <w:p w14:paraId="52889AB0" w14:textId="369B27A0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60,46</w:t>
            </w:r>
          </w:p>
        </w:tc>
        <w:tc>
          <w:tcPr>
            <w:tcW w:w="960" w:type="dxa"/>
            <w:noWrap/>
            <w:hideMark/>
          </w:tcPr>
          <w:p w14:paraId="5DA325DB" w14:textId="1BEA5949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58,</w:t>
            </w:r>
            <w:r w:rsidR="00D94EA1">
              <w:rPr>
                <w:rFonts w:ascii="Arial" w:hAnsi="Arial" w:cs="Arial"/>
                <w:b/>
                <w:bCs/>
                <w:sz w:val="20"/>
              </w:rPr>
              <w:t>31</w:t>
            </w:r>
          </w:p>
        </w:tc>
        <w:tc>
          <w:tcPr>
            <w:tcW w:w="960" w:type="dxa"/>
            <w:noWrap/>
            <w:hideMark/>
          </w:tcPr>
          <w:p w14:paraId="56F02D2E" w14:textId="7204E229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60,12</w:t>
            </w:r>
          </w:p>
        </w:tc>
        <w:tc>
          <w:tcPr>
            <w:tcW w:w="960" w:type="dxa"/>
            <w:noWrap/>
            <w:hideMark/>
          </w:tcPr>
          <w:p w14:paraId="570229C2" w14:textId="65F161E6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62,10</w:t>
            </w:r>
          </w:p>
        </w:tc>
      </w:tr>
      <w:tr w:rsidR="00EB4D98" w:rsidRPr="00EB4D98" w14:paraId="4D6DACF9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1E5A703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Zavod zdravstvenog osiguranja </w:t>
            </w:r>
          </w:p>
        </w:tc>
        <w:tc>
          <w:tcPr>
            <w:tcW w:w="960" w:type="dxa"/>
            <w:noWrap/>
            <w:hideMark/>
          </w:tcPr>
          <w:p w14:paraId="5244FAA0" w14:textId="4E55EDD4" w:rsidR="00EB4D98" w:rsidRPr="00EB4D98" w:rsidRDefault="0003308B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51,82</w:t>
            </w:r>
          </w:p>
        </w:tc>
        <w:tc>
          <w:tcPr>
            <w:tcW w:w="960" w:type="dxa"/>
            <w:noWrap/>
            <w:hideMark/>
          </w:tcPr>
          <w:p w14:paraId="3B4FB27A" w14:textId="167F3FD3" w:rsidR="00EB4D98" w:rsidRPr="00EB4D98" w:rsidRDefault="0003308B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54,70</w:t>
            </w:r>
          </w:p>
        </w:tc>
        <w:tc>
          <w:tcPr>
            <w:tcW w:w="960" w:type="dxa"/>
            <w:noWrap/>
            <w:hideMark/>
          </w:tcPr>
          <w:p w14:paraId="7B7ED0CD" w14:textId="1ECAE7C2" w:rsidR="00EB4D98" w:rsidRPr="00EB4D98" w:rsidRDefault="0003308B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53,37</w:t>
            </w:r>
          </w:p>
        </w:tc>
        <w:tc>
          <w:tcPr>
            <w:tcW w:w="960" w:type="dxa"/>
            <w:noWrap/>
            <w:hideMark/>
          </w:tcPr>
          <w:p w14:paraId="4B1D4A8C" w14:textId="29B92BB4" w:rsidR="00EB4D98" w:rsidRPr="00EB4D98" w:rsidRDefault="00E256C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55,03</w:t>
            </w:r>
          </w:p>
        </w:tc>
        <w:tc>
          <w:tcPr>
            <w:tcW w:w="960" w:type="dxa"/>
            <w:noWrap/>
            <w:hideMark/>
          </w:tcPr>
          <w:p w14:paraId="3DC1C349" w14:textId="7DD0178A" w:rsidR="00EB4D98" w:rsidRPr="00EB4D98" w:rsidRDefault="00E256C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56,84</w:t>
            </w:r>
          </w:p>
        </w:tc>
      </w:tr>
      <w:tr w:rsidR="00EB4D98" w:rsidRPr="00EB4D98" w14:paraId="653A60FA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391A40D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Zavod za zapošljavanje </w:t>
            </w:r>
          </w:p>
        </w:tc>
        <w:tc>
          <w:tcPr>
            <w:tcW w:w="960" w:type="dxa"/>
            <w:noWrap/>
            <w:hideMark/>
          </w:tcPr>
          <w:p w14:paraId="054F472A" w14:textId="3D93DC4C" w:rsidR="00EB4D98" w:rsidRPr="00EB4D98" w:rsidRDefault="0003308B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4,79</w:t>
            </w:r>
          </w:p>
        </w:tc>
        <w:tc>
          <w:tcPr>
            <w:tcW w:w="960" w:type="dxa"/>
            <w:noWrap/>
            <w:hideMark/>
          </w:tcPr>
          <w:p w14:paraId="4D69D1D3" w14:textId="73E50178" w:rsidR="00EB4D98" w:rsidRPr="00EB4D98" w:rsidRDefault="0003308B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5,76</w:t>
            </w:r>
          </w:p>
        </w:tc>
        <w:tc>
          <w:tcPr>
            <w:tcW w:w="960" w:type="dxa"/>
            <w:noWrap/>
            <w:hideMark/>
          </w:tcPr>
          <w:p w14:paraId="6FA37500" w14:textId="66958EBE" w:rsidR="00EB4D98" w:rsidRPr="00EB4D98" w:rsidRDefault="00D94EA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4,94</w:t>
            </w:r>
          </w:p>
        </w:tc>
        <w:tc>
          <w:tcPr>
            <w:tcW w:w="960" w:type="dxa"/>
            <w:noWrap/>
            <w:hideMark/>
          </w:tcPr>
          <w:p w14:paraId="6CCC69AC" w14:textId="37753B15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5,09</w:t>
            </w:r>
          </w:p>
        </w:tc>
        <w:tc>
          <w:tcPr>
            <w:tcW w:w="960" w:type="dxa"/>
            <w:noWrap/>
            <w:hideMark/>
          </w:tcPr>
          <w:p w14:paraId="78FEE23E" w14:textId="0BC14578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5,26</w:t>
            </w:r>
          </w:p>
        </w:tc>
      </w:tr>
      <w:tr w:rsidR="00EB4D98" w:rsidRPr="00EB4D98" w14:paraId="0261A473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BA74BC9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C. UKUPNI PRIHODI OPĆINA</w:t>
            </w:r>
          </w:p>
        </w:tc>
        <w:tc>
          <w:tcPr>
            <w:tcW w:w="960" w:type="dxa"/>
            <w:noWrap/>
            <w:hideMark/>
          </w:tcPr>
          <w:p w14:paraId="2C132640" w14:textId="16993C58" w:rsidR="00EB4D98" w:rsidRPr="00EB4D98" w:rsidRDefault="00E256C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57,06</w:t>
            </w:r>
          </w:p>
        </w:tc>
        <w:tc>
          <w:tcPr>
            <w:tcW w:w="960" w:type="dxa"/>
            <w:noWrap/>
            <w:hideMark/>
          </w:tcPr>
          <w:p w14:paraId="75AF42FB" w14:textId="0E0A0365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76,95</w:t>
            </w:r>
          </w:p>
        </w:tc>
        <w:tc>
          <w:tcPr>
            <w:tcW w:w="960" w:type="dxa"/>
            <w:noWrap/>
            <w:hideMark/>
          </w:tcPr>
          <w:p w14:paraId="5FA9A04D" w14:textId="336F5B36" w:rsidR="00EB4D98" w:rsidRPr="00EB4D98" w:rsidRDefault="0075511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58,77</w:t>
            </w:r>
          </w:p>
        </w:tc>
        <w:tc>
          <w:tcPr>
            <w:tcW w:w="960" w:type="dxa"/>
            <w:noWrap/>
            <w:hideMark/>
          </w:tcPr>
          <w:p w14:paraId="09779367" w14:textId="712C5E2A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60,59</w:t>
            </w:r>
          </w:p>
        </w:tc>
        <w:tc>
          <w:tcPr>
            <w:tcW w:w="960" w:type="dxa"/>
            <w:noWrap/>
            <w:hideMark/>
          </w:tcPr>
          <w:p w14:paraId="4B5E7956" w14:textId="7064E2FA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62,59</w:t>
            </w:r>
          </w:p>
        </w:tc>
      </w:tr>
      <w:tr w:rsidR="00EB4D98" w:rsidRPr="00EB4D98" w14:paraId="2F287A5A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6EE78D6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Porezni prihodi općina</w:t>
            </w:r>
          </w:p>
        </w:tc>
        <w:tc>
          <w:tcPr>
            <w:tcW w:w="960" w:type="dxa"/>
            <w:noWrap/>
            <w:hideMark/>
          </w:tcPr>
          <w:p w14:paraId="359E9844" w14:textId="2673B74D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25,74</w:t>
            </w:r>
          </w:p>
        </w:tc>
        <w:tc>
          <w:tcPr>
            <w:tcW w:w="960" w:type="dxa"/>
            <w:noWrap/>
            <w:hideMark/>
          </w:tcPr>
          <w:p w14:paraId="2044301D" w14:textId="32FD79CA" w:rsidR="00EB4D98" w:rsidRPr="00EB4D98" w:rsidRDefault="009130D2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26,70</w:t>
            </w:r>
          </w:p>
        </w:tc>
        <w:tc>
          <w:tcPr>
            <w:tcW w:w="960" w:type="dxa"/>
            <w:noWrap/>
            <w:hideMark/>
          </w:tcPr>
          <w:p w14:paraId="72F67FFB" w14:textId="347FDABC" w:rsidR="00EB4D98" w:rsidRPr="00EB4D98" w:rsidRDefault="0075511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26,51</w:t>
            </w:r>
          </w:p>
        </w:tc>
        <w:tc>
          <w:tcPr>
            <w:tcW w:w="960" w:type="dxa"/>
            <w:noWrap/>
            <w:hideMark/>
          </w:tcPr>
          <w:p w14:paraId="7598A9E8" w14:textId="4269201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94EA1">
              <w:rPr>
                <w:rFonts w:ascii="Arial" w:hAnsi="Arial" w:cs="Arial"/>
                <w:b/>
                <w:bCs/>
                <w:sz w:val="18"/>
                <w:szCs w:val="18"/>
              </w:rPr>
              <w:t>7,33</w:t>
            </w:r>
          </w:p>
        </w:tc>
        <w:tc>
          <w:tcPr>
            <w:tcW w:w="960" w:type="dxa"/>
            <w:noWrap/>
            <w:hideMark/>
          </w:tcPr>
          <w:p w14:paraId="7CBB0E82" w14:textId="5B0A146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94EA1">
              <w:rPr>
                <w:rFonts w:ascii="Arial" w:hAnsi="Arial" w:cs="Arial"/>
                <w:b/>
                <w:bCs/>
                <w:sz w:val="18"/>
                <w:szCs w:val="18"/>
              </w:rPr>
              <w:t>8,23</w:t>
            </w:r>
          </w:p>
        </w:tc>
      </w:tr>
      <w:tr w:rsidR="00EB4D98" w:rsidRPr="00EB4D98" w14:paraId="3E5DC145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EEAA28A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promet i prihodi sa računa UIO – neto</w:t>
            </w:r>
          </w:p>
        </w:tc>
        <w:tc>
          <w:tcPr>
            <w:tcW w:w="960" w:type="dxa"/>
            <w:noWrap/>
            <w:hideMark/>
          </w:tcPr>
          <w:p w14:paraId="4A6A6BCA" w14:textId="5A9C79F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E256C7">
              <w:rPr>
                <w:rFonts w:ascii="Arial" w:hAnsi="Arial" w:cs="Arial"/>
                <w:sz w:val="18"/>
                <w:szCs w:val="18"/>
              </w:rPr>
              <w:t>8,03</w:t>
            </w:r>
          </w:p>
        </w:tc>
        <w:tc>
          <w:tcPr>
            <w:tcW w:w="960" w:type="dxa"/>
            <w:noWrap/>
            <w:hideMark/>
          </w:tcPr>
          <w:p w14:paraId="6FB5EE2F" w14:textId="6EE1F671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18,90</w:t>
            </w:r>
          </w:p>
        </w:tc>
        <w:tc>
          <w:tcPr>
            <w:tcW w:w="960" w:type="dxa"/>
            <w:noWrap/>
            <w:hideMark/>
          </w:tcPr>
          <w:p w14:paraId="317F7E0E" w14:textId="6D848F9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755116">
              <w:rPr>
                <w:rFonts w:ascii="Arial" w:hAnsi="Arial" w:cs="Arial"/>
                <w:sz w:val="18"/>
                <w:szCs w:val="18"/>
              </w:rPr>
              <w:t>8,59</w:t>
            </w:r>
          </w:p>
        </w:tc>
        <w:tc>
          <w:tcPr>
            <w:tcW w:w="960" w:type="dxa"/>
            <w:noWrap/>
            <w:hideMark/>
          </w:tcPr>
          <w:p w14:paraId="0313B808" w14:textId="5C292E18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D94EA1">
              <w:rPr>
                <w:rFonts w:ascii="Arial" w:hAnsi="Arial" w:cs="Arial"/>
                <w:sz w:val="18"/>
                <w:szCs w:val="18"/>
              </w:rPr>
              <w:t>9,10</w:t>
            </w:r>
          </w:p>
        </w:tc>
        <w:tc>
          <w:tcPr>
            <w:tcW w:w="960" w:type="dxa"/>
            <w:noWrap/>
            <w:hideMark/>
          </w:tcPr>
          <w:p w14:paraId="2687AF53" w14:textId="63911BB7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19,80</w:t>
            </w:r>
          </w:p>
        </w:tc>
      </w:tr>
      <w:tr w:rsidR="00EB4D98" w:rsidRPr="00EB4D98" w14:paraId="3910321D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2DCC54CD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poslovnu dobit</w:t>
            </w:r>
          </w:p>
        </w:tc>
        <w:tc>
          <w:tcPr>
            <w:tcW w:w="960" w:type="dxa"/>
            <w:noWrap/>
            <w:hideMark/>
          </w:tcPr>
          <w:p w14:paraId="12DE030F" w14:textId="02898781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E256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6A280DF8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960" w:type="dxa"/>
            <w:noWrap/>
            <w:hideMark/>
          </w:tcPr>
          <w:p w14:paraId="1DACD3CA" w14:textId="3BB8F6FB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7551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0A45A70E" w14:textId="78834E6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D94EA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D26802E" w14:textId="3F637E5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D94EA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B4D98" w:rsidRPr="00EB4D98" w14:paraId="3AE8B0D0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D5F4E5D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građana</w:t>
            </w:r>
          </w:p>
        </w:tc>
        <w:tc>
          <w:tcPr>
            <w:tcW w:w="960" w:type="dxa"/>
            <w:noWrap/>
            <w:hideMark/>
          </w:tcPr>
          <w:p w14:paraId="0C4E18BC" w14:textId="77141C75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1,1</w:t>
            </w:r>
            <w:r w:rsidR="00E256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B179AB2" w14:textId="1159D022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</w:t>
            </w:r>
          </w:p>
        </w:tc>
        <w:tc>
          <w:tcPr>
            <w:tcW w:w="960" w:type="dxa"/>
            <w:noWrap/>
            <w:hideMark/>
          </w:tcPr>
          <w:p w14:paraId="4396738F" w14:textId="31294623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1,</w:t>
            </w:r>
            <w:r w:rsidR="0075511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60" w:type="dxa"/>
            <w:noWrap/>
            <w:hideMark/>
          </w:tcPr>
          <w:p w14:paraId="7DDC0711" w14:textId="691DD5EE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1,2</w:t>
            </w:r>
            <w:r w:rsidR="00D94EA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D081A5F" w14:textId="74F156D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1,</w:t>
            </w:r>
            <w:r w:rsidR="00D94EA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B4D98" w:rsidRPr="00EB4D98" w14:paraId="583F855D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BD3F09C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Porez na plaću/dohodak</w:t>
            </w:r>
          </w:p>
        </w:tc>
        <w:tc>
          <w:tcPr>
            <w:tcW w:w="960" w:type="dxa"/>
            <w:noWrap/>
            <w:hideMark/>
          </w:tcPr>
          <w:p w14:paraId="5CC24A5D" w14:textId="545152E1" w:rsidR="00EB4D98" w:rsidRPr="00EB4D98" w:rsidRDefault="00E256C7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6,10</w:t>
            </w:r>
          </w:p>
        </w:tc>
        <w:tc>
          <w:tcPr>
            <w:tcW w:w="960" w:type="dxa"/>
            <w:noWrap/>
            <w:hideMark/>
          </w:tcPr>
          <w:p w14:paraId="24ABCCBF" w14:textId="5F86A307" w:rsidR="00EB4D98" w:rsidRPr="00EB4D98" w:rsidRDefault="009130D2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6,19</w:t>
            </w:r>
          </w:p>
        </w:tc>
        <w:tc>
          <w:tcPr>
            <w:tcW w:w="960" w:type="dxa"/>
            <w:noWrap/>
            <w:hideMark/>
          </w:tcPr>
          <w:p w14:paraId="6DDA71A2" w14:textId="49B9884F" w:rsidR="00EB4D98" w:rsidRPr="00EB4D98" w:rsidRDefault="0075511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6,29</w:t>
            </w:r>
          </w:p>
        </w:tc>
        <w:tc>
          <w:tcPr>
            <w:tcW w:w="960" w:type="dxa"/>
            <w:noWrap/>
            <w:hideMark/>
          </w:tcPr>
          <w:p w14:paraId="7046412B" w14:textId="51B2EDC2" w:rsidR="00EB4D98" w:rsidRPr="00EB4D98" w:rsidRDefault="00D94EA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6,54</w:t>
            </w:r>
          </w:p>
        </w:tc>
        <w:tc>
          <w:tcPr>
            <w:tcW w:w="960" w:type="dxa"/>
            <w:noWrap/>
            <w:hideMark/>
          </w:tcPr>
          <w:p w14:paraId="523F0F6C" w14:textId="2AA0B23C" w:rsidR="00EB4D98" w:rsidRPr="00EB4D98" w:rsidRDefault="00D94EA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6,67</w:t>
            </w:r>
          </w:p>
        </w:tc>
      </w:tr>
      <w:tr w:rsidR="00EB4D98" w:rsidRPr="00EB4D98" w14:paraId="1E86FA6E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7EC268A" w14:textId="77777777" w:rsidR="00EB4D98" w:rsidRPr="00EB4D98" w:rsidRDefault="00EB4D98" w:rsidP="00EB4D98">
            <w:pPr>
              <w:ind w:firstLineChars="200" w:firstLine="3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Ostali porezni prihodi</w:t>
            </w:r>
          </w:p>
        </w:tc>
        <w:tc>
          <w:tcPr>
            <w:tcW w:w="960" w:type="dxa"/>
            <w:noWrap/>
            <w:hideMark/>
          </w:tcPr>
          <w:p w14:paraId="598F493C" w14:textId="5C4063D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E256C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68F9591D" w14:textId="4F8275A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9130D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40DC90F7" w14:textId="5BBA1C02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7551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60" w:type="dxa"/>
            <w:noWrap/>
            <w:hideMark/>
          </w:tcPr>
          <w:p w14:paraId="68B22EFE" w14:textId="0C7FFF5D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D94EA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60" w:type="dxa"/>
            <w:noWrap/>
            <w:hideMark/>
          </w:tcPr>
          <w:p w14:paraId="16C1A942" w14:textId="09292D85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D94EA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EB4D98" w:rsidRPr="00EB4D98" w14:paraId="698FC23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B42234E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Neporezni prihodi općina</w:t>
            </w:r>
          </w:p>
        </w:tc>
        <w:tc>
          <w:tcPr>
            <w:tcW w:w="960" w:type="dxa"/>
            <w:noWrap/>
            <w:hideMark/>
          </w:tcPr>
          <w:p w14:paraId="73513CE7" w14:textId="2C4F6924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256C7">
              <w:rPr>
                <w:rFonts w:ascii="Arial" w:hAnsi="Arial" w:cs="Arial"/>
                <w:b/>
                <w:bCs/>
                <w:sz w:val="18"/>
                <w:szCs w:val="18"/>
              </w:rPr>
              <w:t>8,97</w:t>
            </w:r>
          </w:p>
        </w:tc>
        <w:tc>
          <w:tcPr>
            <w:tcW w:w="960" w:type="dxa"/>
            <w:noWrap/>
            <w:hideMark/>
          </w:tcPr>
          <w:p w14:paraId="0E9A5465" w14:textId="79D3547D" w:rsidR="00EB4D98" w:rsidRPr="00EB4D98" w:rsidRDefault="009130D2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44,93</w:t>
            </w:r>
          </w:p>
        </w:tc>
        <w:tc>
          <w:tcPr>
            <w:tcW w:w="960" w:type="dxa"/>
            <w:noWrap/>
            <w:hideMark/>
          </w:tcPr>
          <w:p w14:paraId="51A45E83" w14:textId="0407429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55116">
              <w:rPr>
                <w:rFonts w:ascii="Arial" w:hAnsi="Arial" w:cs="Arial"/>
                <w:b/>
                <w:bCs/>
                <w:sz w:val="18"/>
                <w:szCs w:val="18"/>
              </w:rPr>
              <w:t>9,77</w:t>
            </w:r>
          </w:p>
        </w:tc>
        <w:tc>
          <w:tcPr>
            <w:tcW w:w="960" w:type="dxa"/>
            <w:noWrap/>
            <w:hideMark/>
          </w:tcPr>
          <w:p w14:paraId="29CAADCB" w14:textId="15FB6423" w:rsidR="00EB4D98" w:rsidRPr="00EB4D98" w:rsidRDefault="00D94EA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30,69</w:t>
            </w:r>
          </w:p>
        </w:tc>
        <w:tc>
          <w:tcPr>
            <w:tcW w:w="960" w:type="dxa"/>
            <w:noWrap/>
            <w:hideMark/>
          </w:tcPr>
          <w:p w14:paraId="5F7A154B" w14:textId="625D7D05" w:rsidR="00EB4D98" w:rsidRPr="00EB4D98" w:rsidRDefault="00D94EA1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31,70</w:t>
            </w:r>
          </w:p>
        </w:tc>
      </w:tr>
      <w:tr w:rsidR="00EB4D98" w:rsidRPr="00EB4D98" w14:paraId="02CD41D5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B1A0434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Prihod od poduzetničke imovine</w:t>
            </w:r>
          </w:p>
        </w:tc>
        <w:tc>
          <w:tcPr>
            <w:tcW w:w="960" w:type="dxa"/>
            <w:noWrap/>
            <w:hideMark/>
          </w:tcPr>
          <w:p w14:paraId="40202B63" w14:textId="6C2F0AA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2,</w:t>
            </w:r>
            <w:r w:rsidR="00E256C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960" w:type="dxa"/>
            <w:noWrap/>
            <w:hideMark/>
          </w:tcPr>
          <w:p w14:paraId="2D2D4F68" w14:textId="48DD77DA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3,75</w:t>
            </w:r>
          </w:p>
        </w:tc>
        <w:tc>
          <w:tcPr>
            <w:tcW w:w="960" w:type="dxa"/>
            <w:noWrap/>
            <w:hideMark/>
          </w:tcPr>
          <w:p w14:paraId="3E4C0579" w14:textId="47F1EFF2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2,</w:t>
            </w:r>
            <w:r w:rsidR="0075511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60" w:type="dxa"/>
            <w:noWrap/>
            <w:hideMark/>
          </w:tcPr>
          <w:p w14:paraId="057AD1BF" w14:textId="13542D45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3,08</w:t>
            </w:r>
          </w:p>
        </w:tc>
        <w:tc>
          <w:tcPr>
            <w:tcW w:w="960" w:type="dxa"/>
            <w:noWrap/>
            <w:hideMark/>
          </w:tcPr>
          <w:p w14:paraId="53CD373F" w14:textId="1D6BDE06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3,11</w:t>
            </w:r>
          </w:p>
        </w:tc>
      </w:tr>
      <w:tr w:rsidR="00EB4D98" w:rsidRPr="00EB4D98" w14:paraId="47FE71F2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76348F8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Takse, naknade i kazne</w:t>
            </w:r>
          </w:p>
        </w:tc>
        <w:tc>
          <w:tcPr>
            <w:tcW w:w="960" w:type="dxa"/>
            <w:noWrap/>
            <w:hideMark/>
          </w:tcPr>
          <w:p w14:paraId="56F31B9A" w14:textId="2C26A352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13,</w:t>
            </w:r>
            <w:r w:rsidR="00E256C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960" w:type="dxa"/>
            <w:noWrap/>
            <w:hideMark/>
          </w:tcPr>
          <w:p w14:paraId="4776B4B1" w14:textId="407AA409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16,</w:t>
            </w:r>
            <w:r w:rsidR="009130D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960" w:type="dxa"/>
            <w:noWrap/>
            <w:hideMark/>
          </w:tcPr>
          <w:p w14:paraId="2FFECAA9" w14:textId="357E24E7" w:rsidR="00EB4D98" w:rsidRPr="00EB4D98" w:rsidRDefault="00755116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13,74</w:t>
            </w:r>
          </w:p>
        </w:tc>
        <w:tc>
          <w:tcPr>
            <w:tcW w:w="960" w:type="dxa"/>
            <w:noWrap/>
            <w:hideMark/>
          </w:tcPr>
          <w:p w14:paraId="5CB17F7F" w14:textId="25323122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14,</w:t>
            </w:r>
            <w:r w:rsidR="00D94EA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20751DA1" w14:textId="7817A6C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D94EA1">
              <w:rPr>
                <w:rFonts w:ascii="Arial" w:hAnsi="Arial" w:cs="Arial"/>
                <w:sz w:val="18"/>
                <w:szCs w:val="18"/>
              </w:rPr>
              <w:t>4,68</w:t>
            </w:r>
          </w:p>
        </w:tc>
      </w:tr>
      <w:tr w:rsidR="00EB4D98" w:rsidRPr="00EB4D98" w14:paraId="64232922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7661D32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Potpore-tekuće</w:t>
            </w:r>
          </w:p>
        </w:tc>
        <w:tc>
          <w:tcPr>
            <w:tcW w:w="960" w:type="dxa"/>
            <w:noWrap/>
            <w:hideMark/>
          </w:tcPr>
          <w:p w14:paraId="737AB731" w14:textId="64A5DB99" w:rsidR="00EB4D98" w:rsidRPr="00EB4D98" w:rsidRDefault="00E256C7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8,02</w:t>
            </w:r>
          </w:p>
        </w:tc>
        <w:tc>
          <w:tcPr>
            <w:tcW w:w="960" w:type="dxa"/>
            <w:noWrap/>
            <w:hideMark/>
          </w:tcPr>
          <w:p w14:paraId="45D2BD33" w14:textId="152D212C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960" w:type="dxa"/>
            <w:noWrap/>
            <w:hideMark/>
          </w:tcPr>
          <w:p w14:paraId="40B124AB" w14:textId="4B06F571" w:rsidR="00EB4D98" w:rsidRPr="00EB4D98" w:rsidRDefault="0075511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8,17</w:t>
            </w:r>
          </w:p>
        </w:tc>
        <w:tc>
          <w:tcPr>
            <w:tcW w:w="960" w:type="dxa"/>
            <w:noWrap/>
            <w:hideMark/>
          </w:tcPr>
          <w:p w14:paraId="66D89779" w14:textId="022FCEB3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8,42</w:t>
            </w:r>
          </w:p>
        </w:tc>
        <w:tc>
          <w:tcPr>
            <w:tcW w:w="960" w:type="dxa"/>
            <w:noWrap/>
            <w:hideMark/>
          </w:tcPr>
          <w:p w14:paraId="1E37F79E" w14:textId="59017970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8,70</w:t>
            </w:r>
          </w:p>
        </w:tc>
      </w:tr>
      <w:tr w:rsidR="00EB4D98" w:rsidRPr="00EB4D98" w14:paraId="1C423D2D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3EDFB28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Donacije</w:t>
            </w:r>
          </w:p>
        </w:tc>
        <w:tc>
          <w:tcPr>
            <w:tcW w:w="960" w:type="dxa"/>
            <w:noWrap/>
            <w:hideMark/>
          </w:tcPr>
          <w:p w14:paraId="4BC90665" w14:textId="2FD4A4B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9130D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7A073ADD" w14:textId="2BA8954D" w:rsidR="00EB4D98" w:rsidRPr="00EB4D98" w:rsidRDefault="009130D2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12,81</w:t>
            </w:r>
          </w:p>
        </w:tc>
        <w:tc>
          <w:tcPr>
            <w:tcW w:w="960" w:type="dxa"/>
            <w:noWrap/>
            <w:hideMark/>
          </w:tcPr>
          <w:p w14:paraId="026A18E4" w14:textId="37B199DF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7551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3B4985D2" w14:textId="0CF87BC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D94EA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0E9F9C77" w14:textId="12F35B8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D94E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B4D98" w:rsidRPr="00EB4D98" w14:paraId="04A069A9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431A6D0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Kapitalne potpore</w:t>
            </w:r>
          </w:p>
        </w:tc>
        <w:tc>
          <w:tcPr>
            <w:tcW w:w="960" w:type="dxa"/>
            <w:noWrap/>
            <w:hideMark/>
          </w:tcPr>
          <w:p w14:paraId="6FD94DA1" w14:textId="79F16898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4,57</w:t>
            </w:r>
          </w:p>
        </w:tc>
        <w:tc>
          <w:tcPr>
            <w:tcW w:w="960" w:type="dxa"/>
            <w:noWrap/>
            <w:hideMark/>
          </w:tcPr>
          <w:p w14:paraId="7E84120B" w14:textId="3B8B7EF1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11,47</w:t>
            </w:r>
          </w:p>
        </w:tc>
        <w:tc>
          <w:tcPr>
            <w:tcW w:w="960" w:type="dxa"/>
            <w:noWrap/>
            <w:hideMark/>
          </w:tcPr>
          <w:p w14:paraId="2BB53A3E" w14:textId="7782598E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4,71</w:t>
            </w:r>
          </w:p>
        </w:tc>
        <w:tc>
          <w:tcPr>
            <w:tcW w:w="960" w:type="dxa"/>
            <w:noWrap/>
            <w:hideMark/>
          </w:tcPr>
          <w:p w14:paraId="628814F1" w14:textId="28FEAA71" w:rsidR="00EB4D98" w:rsidRPr="00EB4D98" w:rsidRDefault="00D94EA1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4,85</w:t>
            </w:r>
          </w:p>
        </w:tc>
        <w:tc>
          <w:tcPr>
            <w:tcW w:w="960" w:type="dxa"/>
            <w:noWrap/>
            <w:hideMark/>
          </w:tcPr>
          <w:p w14:paraId="19985924" w14:textId="16A7D340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5,02</w:t>
            </w:r>
          </w:p>
        </w:tc>
      </w:tr>
      <w:tr w:rsidR="00EB4D98" w:rsidRPr="00EB4D98" w14:paraId="02B8DC0F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90238FC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Ostali neporezni prihodi</w:t>
            </w:r>
          </w:p>
        </w:tc>
        <w:tc>
          <w:tcPr>
            <w:tcW w:w="960" w:type="dxa"/>
            <w:noWrap/>
            <w:hideMark/>
          </w:tcPr>
          <w:p w14:paraId="0550E50E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7004D5" w14:textId="7191C6D4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63762270" w14:textId="40D82B0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7551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0" w:type="dxa"/>
            <w:noWrap/>
            <w:hideMark/>
          </w:tcPr>
          <w:p w14:paraId="46141255" w14:textId="4A47D0E4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D94EA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960" w:type="dxa"/>
            <w:noWrap/>
            <w:hideMark/>
          </w:tcPr>
          <w:p w14:paraId="0B101316" w14:textId="2833FDAB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</w:t>
            </w:r>
            <w:r w:rsidR="0048552E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EB4D98" w:rsidRPr="00EB4D98" w14:paraId="758E85F6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8DECD3F" w14:textId="77777777" w:rsidR="00EB4D98" w:rsidRPr="00EB4D98" w:rsidRDefault="00EB4D98" w:rsidP="00EB4D98">
            <w:pPr>
              <w:ind w:firstLineChars="300" w:firstLine="542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Kapitalni primitci</w:t>
            </w:r>
          </w:p>
        </w:tc>
        <w:tc>
          <w:tcPr>
            <w:tcW w:w="960" w:type="dxa"/>
            <w:noWrap/>
            <w:hideMark/>
          </w:tcPr>
          <w:p w14:paraId="66749A4A" w14:textId="41FB4328" w:rsidR="00EB4D98" w:rsidRPr="00EB4D98" w:rsidRDefault="009130D2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2,35</w:t>
            </w:r>
          </w:p>
        </w:tc>
        <w:tc>
          <w:tcPr>
            <w:tcW w:w="960" w:type="dxa"/>
            <w:noWrap/>
            <w:hideMark/>
          </w:tcPr>
          <w:p w14:paraId="225006C1" w14:textId="78EBE717" w:rsidR="00EB4D98" w:rsidRPr="00EB4D98" w:rsidRDefault="0075511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3,36</w:t>
            </w:r>
          </w:p>
        </w:tc>
        <w:tc>
          <w:tcPr>
            <w:tcW w:w="960" w:type="dxa"/>
            <w:noWrap/>
            <w:hideMark/>
          </w:tcPr>
          <w:p w14:paraId="731FEAA9" w14:textId="5EA113E7" w:rsidR="00EB4D98" w:rsidRPr="00EB4D98" w:rsidRDefault="00755116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2,49</w:t>
            </w:r>
          </w:p>
        </w:tc>
        <w:tc>
          <w:tcPr>
            <w:tcW w:w="960" w:type="dxa"/>
            <w:noWrap/>
            <w:hideMark/>
          </w:tcPr>
          <w:p w14:paraId="2A7A395A" w14:textId="3B5D5EAA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2,</w:t>
            </w:r>
            <w:r w:rsidR="00D94EA1"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960" w:type="dxa"/>
            <w:noWrap/>
            <w:hideMark/>
          </w:tcPr>
          <w:p w14:paraId="2DF6F129" w14:textId="7751B49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2,</w:t>
            </w:r>
            <w:r w:rsidR="0048552E">
              <w:rPr>
                <w:rFonts w:ascii="Arial" w:hAnsi="Arial" w:cs="Arial"/>
                <w:b/>
                <w:bCs/>
                <w:sz w:val="18"/>
                <w:szCs w:val="18"/>
              </w:rPr>
              <w:t>66</w:t>
            </w:r>
          </w:p>
        </w:tc>
      </w:tr>
      <w:tr w:rsidR="00EB4D98" w:rsidRPr="00EB4D98" w14:paraId="3110BF0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7B626EC" w14:textId="77777777" w:rsidR="00EB4D98" w:rsidRPr="00EB4D98" w:rsidRDefault="00EB4D98" w:rsidP="00EB4D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UKUPNI RASHODI I IZDATCI</w:t>
            </w:r>
          </w:p>
        </w:tc>
        <w:tc>
          <w:tcPr>
            <w:tcW w:w="960" w:type="dxa"/>
            <w:noWrap/>
            <w:hideMark/>
          </w:tcPr>
          <w:p w14:paraId="220035FB" w14:textId="399B16AF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239,13</w:t>
            </w:r>
          </w:p>
        </w:tc>
        <w:tc>
          <w:tcPr>
            <w:tcW w:w="960" w:type="dxa"/>
            <w:noWrap/>
            <w:hideMark/>
          </w:tcPr>
          <w:p w14:paraId="7D23969A" w14:textId="1E67DF1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7E4C">
              <w:rPr>
                <w:rFonts w:ascii="Arial" w:hAnsi="Arial" w:cs="Arial"/>
                <w:b/>
                <w:bCs/>
                <w:sz w:val="18"/>
                <w:szCs w:val="18"/>
              </w:rPr>
              <w:t>92,77</w:t>
            </w:r>
          </w:p>
        </w:tc>
        <w:tc>
          <w:tcPr>
            <w:tcW w:w="960" w:type="dxa"/>
            <w:noWrap/>
            <w:hideMark/>
          </w:tcPr>
          <w:p w14:paraId="59558988" w14:textId="1957EDC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7E4C">
              <w:rPr>
                <w:rFonts w:ascii="Arial" w:hAnsi="Arial" w:cs="Arial"/>
                <w:b/>
                <w:bCs/>
                <w:sz w:val="18"/>
                <w:szCs w:val="18"/>
              </w:rPr>
              <w:t>78,13</w:t>
            </w:r>
          </w:p>
        </w:tc>
        <w:tc>
          <w:tcPr>
            <w:tcW w:w="960" w:type="dxa"/>
            <w:noWrap/>
            <w:hideMark/>
          </w:tcPr>
          <w:p w14:paraId="4189FC59" w14:textId="7DBAB29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27E4C">
              <w:rPr>
                <w:rFonts w:ascii="Arial" w:hAnsi="Arial" w:cs="Arial"/>
                <w:b/>
                <w:bCs/>
                <w:sz w:val="18"/>
                <w:szCs w:val="18"/>
              </w:rPr>
              <w:t>88,81</w:t>
            </w:r>
          </w:p>
        </w:tc>
        <w:tc>
          <w:tcPr>
            <w:tcW w:w="960" w:type="dxa"/>
            <w:noWrap/>
            <w:hideMark/>
          </w:tcPr>
          <w:p w14:paraId="65A2C948" w14:textId="7145D92F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301,40</w:t>
            </w:r>
          </w:p>
        </w:tc>
      </w:tr>
      <w:tr w:rsidR="00EB4D98" w:rsidRPr="00EB4D98" w14:paraId="0EF552B8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A7D2A49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Rashodi županije</w:t>
            </w:r>
          </w:p>
        </w:tc>
        <w:tc>
          <w:tcPr>
            <w:tcW w:w="960" w:type="dxa"/>
            <w:noWrap/>
            <w:hideMark/>
          </w:tcPr>
          <w:p w14:paraId="5ECC1BF1" w14:textId="191CA4FB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sz w:val="20"/>
              </w:rPr>
              <w:t>1</w:t>
            </w:r>
            <w:r w:rsidR="0048552E">
              <w:rPr>
                <w:rFonts w:ascii="Arial" w:hAnsi="Arial" w:cs="Arial"/>
                <w:b/>
                <w:bCs/>
                <w:sz w:val="20"/>
              </w:rPr>
              <w:t>29,34</w:t>
            </w:r>
          </w:p>
        </w:tc>
        <w:tc>
          <w:tcPr>
            <w:tcW w:w="960" w:type="dxa"/>
            <w:noWrap/>
            <w:hideMark/>
          </w:tcPr>
          <w:p w14:paraId="5758DC31" w14:textId="2DEC3122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sz w:val="20"/>
              </w:rPr>
              <w:t>1</w:t>
            </w:r>
            <w:r w:rsidR="0048552E">
              <w:rPr>
                <w:rFonts w:ascii="Arial" w:hAnsi="Arial" w:cs="Arial"/>
                <w:b/>
                <w:bCs/>
                <w:sz w:val="20"/>
              </w:rPr>
              <w:t>55,36</w:t>
            </w:r>
          </w:p>
        </w:tc>
        <w:tc>
          <w:tcPr>
            <w:tcW w:w="960" w:type="dxa"/>
            <w:noWrap/>
            <w:hideMark/>
          </w:tcPr>
          <w:p w14:paraId="0704365F" w14:textId="70AF0AEA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sz w:val="20"/>
              </w:rPr>
              <w:t>1</w:t>
            </w:r>
            <w:r w:rsidR="0048552E">
              <w:rPr>
                <w:rFonts w:ascii="Arial" w:hAnsi="Arial" w:cs="Arial"/>
                <w:b/>
                <w:bCs/>
                <w:sz w:val="20"/>
              </w:rPr>
              <w:t>60,76</w:t>
            </w:r>
          </w:p>
        </w:tc>
        <w:tc>
          <w:tcPr>
            <w:tcW w:w="960" w:type="dxa"/>
            <w:noWrap/>
            <w:hideMark/>
          </w:tcPr>
          <w:p w14:paraId="47A68393" w14:textId="56B7165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sz w:val="20"/>
              </w:rPr>
              <w:t>1</w:t>
            </w:r>
            <w:r w:rsidR="0048552E">
              <w:rPr>
                <w:rFonts w:ascii="Arial" w:hAnsi="Arial" w:cs="Arial"/>
                <w:b/>
                <w:bCs/>
                <w:sz w:val="20"/>
              </w:rPr>
              <w:t>67,79</w:t>
            </w:r>
          </w:p>
        </w:tc>
        <w:tc>
          <w:tcPr>
            <w:tcW w:w="960" w:type="dxa"/>
            <w:noWrap/>
            <w:hideMark/>
          </w:tcPr>
          <w:p w14:paraId="5A12668F" w14:textId="42D94715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EB4D98">
              <w:rPr>
                <w:rFonts w:ascii="Arial" w:hAnsi="Arial" w:cs="Arial"/>
                <w:b/>
                <w:bCs/>
                <w:sz w:val="20"/>
              </w:rPr>
              <w:t>1</w:t>
            </w:r>
            <w:r w:rsidR="0048552E">
              <w:rPr>
                <w:rFonts w:ascii="Arial" w:hAnsi="Arial" w:cs="Arial"/>
                <w:b/>
                <w:bCs/>
                <w:sz w:val="20"/>
              </w:rPr>
              <w:t>76,39</w:t>
            </w:r>
          </w:p>
        </w:tc>
      </w:tr>
      <w:tr w:rsidR="00EB4D98" w:rsidRPr="00EB4D98" w14:paraId="74999538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4731D5B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Troškovi plaća (plaće, naknade, doprinosi) </w:t>
            </w:r>
          </w:p>
        </w:tc>
        <w:tc>
          <w:tcPr>
            <w:tcW w:w="960" w:type="dxa"/>
            <w:noWrap/>
            <w:hideMark/>
          </w:tcPr>
          <w:p w14:paraId="7F3A14F4" w14:textId="5322266D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85,39</w:t>
            </w:r>
          </w:p>
        </w:tc>
        <w:tc>
          <w:tcPr>
            <w:tcW w:w="960" w:type="dxa"/>
            <w:noWrap/>
            <w:hideMark/>
          </w:tcPr>
          <w:p w14:paraId="7242E03B" w14:textId="1C57B31F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96,55</w:t>
            </w:r>
          </w:p>
        </w:tc>
        <w:tc>
          <w:tcPr>
            <w:tcW w:w="960" w:type="dxa"/>
            <w:noWrap/>
            <w:hideMark/>
          </w:tcPr>
          <w:p w14:paraId="0AA12090" w14:textId="3D91FDA7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100,61</w:t>
            </w:r>
          </w:p>
        </w:tc>
        <w:tc>
          <w:tcPr>
            <w:tcW w:w="960" w:type="dxa"/>
            <w:noWrap/>
            <w:hideMark/>
          </w:tcPr>
          <w:p w14:paraId="626AE1CB" w14:textId="2C71962E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104,20</w:t>
            </w:r>
          </w:p>
        </w:tc>
        <w:tc>
          <w:tcPr>
            <w:tcW w:w="960" w:type="dxa"/>
            <w:noWrap/>
            <w:hideMark/>
          </w:tcPr>
          <w:p w14:paraId="39650C67" w14:textId="2D69C120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108,19</w:t>
            </w:r>
          </w:p>
        </w:tc>
      </w:tr>
      <w:tr w:rsidR="00EB4D98" w:rsidRPr="00EB4D98" w14:paraId="486F8C47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2FE8253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Troškovi materijala i usluga</w:t>
            </w:r>
          </w:p>
        </w:tc>
        <w:tc>
          <w:tcPr>
            <w:tcW w:w="960" w:type="dxa"/>
            <w:noWrap/>
            <w:hideMark/>
          </w:tcPr>
          <w:p w14:paraId="38DA8318" w14:textId="0A359FFC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8,80</w:t>
            </w:r>
          </w:p>
        </w:tc>
        <w:tc>
          <w:tcPr>
            <w:tcW w:w="960" w:type="dxa"/>
            <w:noWrap/>
            <w:hideMark/>
          </w:tcPr>
          <w:p w14:paraId="31E3FA80" w14:textId="455F8A82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12,15</w:t>
            </w:r>
          </w:p>
        </w:tc>
        <w:tc>
          <w:tcPr>
            <w:tcW w:w="960" w:type="dxa"/>
            <w:noWrap/>
            <w:hideMark/>
          </w:tcPr>
          <w:p w14:paraId="120DBE9E" w14:textId="669735B8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12,50</w:t>
            </w:r>
          </w:p>
        </w:tc>
        <w:tc>
          <w:tcPr>
            <w:tcW w:w="960" w:type="dxa"/>
            <w:noWrap/>
            <w:hideMark/>
          </w:tcPr>
          <w:p w14:paraId="34567D21" w14:textId="5121A6E9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13,00</w:t>
            </w:r>
          </w:p>
        </w:tc>
        <w:tc>
          <w:tcPr>
            <w:tcW w:w="960" w:type="dxa"/>
            <w:noWrap/>
            <w:hideMark/>
          </w:tcPr>
          <w:p w14:paraId="750B2AA2" w14:textId="12EAF90B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13,</w:t>
            </w:r>
            <w:r w:rsidR="0048552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EB4D98" w:rsidRPr="00EB4D98" w14:paraId="76FBCC13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A654A58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Tekući transferi/potpore</w:t>
            </w:r>
          </w:p>
        </w:tc>
        <w:tc>
          <w:tcPr>
            <w:tcW w:w="960" w:type="dxa"/>
            <w:noWrap/>
            <w:hideMark/>
          </w:tcPr>
          <w:p w14:paraId="1AE207E9" w14:textId="7E6D57A0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25,46</w:t>
            </w:r>
          </w:p>
        </w:tc>
        <w:tc>
          <w:tcPr>
            <w:tcW w:w="960" w:type="dxa"/>
            <w:noWrap/>
            <w:hideMark/>
          </w:tcPr>
          <w:p w14:paraId="6C562585" w14:textId="36A198A2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2</w:t>
            </w:r>
            <w:r w:rsidR="0048552E">
              <w:rPr>
                <w:rFonts w:ascii="Arial" w:hAnsi="Arial" w:cs="Arial"/>
                <w:sz w:val="18"/>
                <w:szCs w:val="18"/>
              </w:rPr>
              <w:t>9,09</w:t>
            </w:r>
          </w:p>
        </w:tc>
        <w:tc>
          <w:tcPr>
            <w:tcW w:w="960" w:type="dxa"/>
            <w:noWrap/>
            <w:hideMark/>
          </w:tcPr>
          <w:p w14:paraId="3FEA6224" w14:textId="416F96A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2</w:t>
            </w:r>
            <w:r w:rsidR="0048552E">
              <w:rPr>
                <w:rFonts w:ascii="Arial" w:hAnsi="Arial" w:cs="Arial"/>
                <w:sz w:val="18"/>
                <w:szCs w:val="18"/>
              </w:rPr>
              <w:t>9,47</w:t>
            </w:r>
          </w:p>
        </w:tc>
        <w:tc>
          <w:tcPr>
            <w:tcW w:w="960" w:type="dxa"/>
            <w:noWrap/>
            <w:hideMark/>
          </w:tcPr>
          <w:p w14:paraId="1DC3DE9D" w14:textId="1FEA32B3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31,09</w:t>
            </w:r>
          </w:p>
        </w:tc>
        <w:tc>
          <w:tcPr>
            <w:tcW w:w="960" w:type="dxa"/>
            <w:noWrap/>
            <w:hideMark/>
          </w:tcPr>
          <w:p w14:paraId="7E3FF736" w14:textId="0D892C0F" w:rsidR="00EB4D98" w:rsidRPr="00EB4D98" w:rsidRDefault="0048552E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33,23</w:t>
            </w:r>
          </w:p>
        </w:tc>
      </w:tr>
      <w:tr w:rsidR="00EB4D98" w:rsidRPr="00EB4D98" w14:paraId="3D9F7E9D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4D0DFAD" w14:textId="77777777" w:rsidR="00EB4D98" w:rsidRPr="00EB4D98" w:rsidRDefault="00EB4D98" w:rsidP="00EB4D9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        Kapitalne potpore</w:t>
            </w:r>
          </w:p>
        </w:tc>
        <w:tc>
          <w:tcPr>
            <w:tcW w:w="960" w:type="dxa"/>
            <w:noWrap/>
            <w:hideMark/>
          </w:tcPr>
          <w:p w14:paraId="4C21C38B" w14:textId="63CCB314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4,53</w:t>
            </w:r>
          </w:p>
        </w:tc>
        <w:tc>
          <w:tcPr>
            <w:tcW w:w="960" w:type="dxa"/>
            <w:noWrap/>
            <w:hideMark/>
          </w:tcPr>
          <w:p w14:paraId="46578137" w14:textId="1D9639E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4,</w:t>
            </w:r>
            <w:r w:rsidR="0048552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60" w:type="dxa"/>
            <w:noWrap/>
            <w:hideMark/>
          </w:tcPr>
          <w:p w14:paraId="2604ED07" w14:textId="13679F19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4,</w:t>
            </w:r>
            <w:r w:rsidR="0048552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60" w:type="dxa"/>
            <w:noWrap/>
            <w:hideMark/>
          </w:tcPr>
          <w:p w14:paraId="2605FB6A" w14:textId="5F7699E7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960" w:type="dxa"/>
            <w:noWrap/>
            <w:hideMark/>
          </w:tcPr>
          <w:p w14:paraId="4E8ACB21" w14:textId="2864BB88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4,95</w:t>
            </w:r>
          </w:p>
        </w:tc>
      </w:tr>
      <w:tr w:rsidR="00EB4D98" w:rsidRPr="00EB4D98" w14:paraId="639A48A7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2AC92DC5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Kamate </w:t>
            </w:r>
          </w:p>
        </w:tc>
        <w:tc>
          <w:tcPr>
            <w:tcW w:w="960" w:type="dxa"/>
            <w:noWrap/>
            <w:hideMark/>
          </w:tcPr>
          <w:p w14:paraId="02EDA527" w14:textId="7BBACAF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48552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1E580B0" w14:textId="2AFA3A9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4855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C86D0A3" w14:textId="1896B61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4855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AFEA89A" w14:textId="5E647769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4855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696D5F2" w14:textId="474C243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0,0</w:t>
            </w:r>
            <w:r w:rsidR="0048552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B4D98" w:rsidRPr="00EB4D98" w14:paraId="509D102A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0E22129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Kapitalni izdatci</w:t>
            </w:r>
          </w:p>
        </w:tc>
        <w:tc>
          <w:tcPr>
            <w:tcW w:w="960" w:type="dxa"/>
            <w:noWrap/>
            <w:hideMark/>
          </w:tcPr>
          <w:p w14:paraId="6E1EEA59" w14:textId="630FACF3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5,13</w:t>
            </w:r>
          </w:p>
        </w:tc>
        <w:tc>
          <w:tcPr>
            <w:tcW w:w="960" w:type="dxa"/>
            <w:noWrap/>
            <w:hideMark/>
          </w:tcPr>
          <w:p w14:paraId="33114AF9" w14:textId="2A9B0DAA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12,67</w:t>
            </w:r>
          </w:p>
        </w:tc>
        <w:tc>
          <w:tcPr>
            <w:tcW w:w="960" w:type="dxa"/>
            <w:noWrap/>
            <w:hideMark/>
          </w:tcPr>
          <w:p w14:paraId="39760900" w14:textId="762FB694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12,88</w:t>
            </w:r>
          </w:p>
        </w:tc>
        <w:tc>
          <w:tcPr>
            <w:tcW w:w="960" w:type="dxa"/>
            <w:noWrap/>
            <w:hideMark/>
          </w:tcPr>
          <w:p w14:paraId="004416FA" w14:textId="30B834B7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14,30</w:t>
            </w:r>
          </w:p>
        </w:tc>
        <w:tc>
          <w:tcPr>
            <w:tcW w:w="960" w:type="dxa"/>
            <w:noWrap/>
            <w:hideMark/>
          </w:tcPr>
          <w:p w14:paraId="4F321D5B" w14:textId="2E8808A9" w:rsidR="00EB4D98" w:rsidRPr="00EB4D98" w:rsidRDefault="0048552E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15,70</w:t>
            </w:r>
          </w:p>
        </w:tc>
      </w:tr>
      <w:tr w:rsidR="00EB4D98" w:rsidRPr="00EB4D98" w14:paraId="32E39BA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481F6E5" w14:textId="77777777" w:rsidR="00EB4D98" w:rsidRPr="00EB4D98" w:rsidRDefault="00EB4D98" w:rsidP="00EB4D98">
            <w:pPr>
              <w:ind w:firstLineChars="300" w:firstLine="542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TEKUĆA PRIČUVA/REZERVA</w:t>
            </w:r>
          </w:p>
        </w:tc>
        <w:tc>
          <w:tcPr>
            <w:tcW w:w="960" w:type="dxa"/>
            <w:noWrap/>
            <w:hideMark/>
          </w:tcPr>
          <w:p w14:paraId="78E98EA6" w14:textId="0C8A27D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0,</w:t>
            </w:r>
            <w:r w:rsidR="0048552E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33125FE1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960" w:type="dxa"/>
            <w:noWrap/>
            <w:hideMark/>
          </w:tcPr>
          <w:p w14:paraId="62F51207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960" w:type="dxa"/>
            <w:noWrap/>
            <w:hideMark/>
          </w:tcPr>
          <w:p w14:paraId="6EC187D5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0,6</w:t>
            </w:r>
          </w:p>
        </w:tc>
        <w:tc>
          <w:tcPr>
            <w:tcW w:w="960" w:type="dxa"/>
            <w:noWrap/>
            <w:hideMark/>
          </w:tcPr>
          <w:p w14:paraId="1184E8CC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sz w:val="18"/>
                <w:szCs w:val="18"/>
              </w:rPr>
              <w:t>0,6</w:t>
            </w:r>
          </w:p>
        </w:tc>
      </w:tr>
      <w:tr w:rsidR="00EB4D98" w:rsidRPr="00EB4D98" w14:paraId="2FCF1241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0D7ECD9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 Rashodi općina</w:t>
            </w:r>
          </w:p>
        </w:tc>
        <w:tc>
          <w:tcPr>
            <w:tcW w:w="960" w:type="dxa"/>
            <w:noWrap/>
            <w:hideMark/>
          </w:tcPr>
          <w:p w14:paraId="56A63917" w14:textId="468FD563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57,35</w:t>
            </w:r>
          </w:p>
        </w:tc>
        <w:tc>
          <w:tcPr>
            <w:tcW w:w="960" w:type="dxa"/>
            <w:noWrap/>
            <w:hideMark/>
          </w:tcPr>
          <w:p w14:paraId="41E915A6" w14:textId="23068D06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76,95</w:t>
            </w:r>
          </w:p>
        </w:tc>
        <w:tc>
          <w:tcPr>
            <w:tcW w:w="960" w:type="dxa"/>
            <w:noWrap/>
            <w:hideMark/>
          </w:tcPr>
          <w:p w14:paraId="25F06988" w14:textId="37F46489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59,07</w:t>
            </w:r>
          </w:p>
        </w:tc>
        <w:tc>
          <w:tcPr>
            <w:tcW w:w="960" w:type="dxa"/>
            <w:noWrap/>
            <w:hideMark/>
          </w:tcPr>
          <w:p w14:paraId="130D5349" w14:textId="214467D5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60,90</w:t>
            </w:r>
          </w:p>
        </w:tc>
        <w:tc>
          <w:tcPr>
            <w:tcW w:w="960" w:type="dxa"/>
            <w:noWrap/>
            <w:hideMark/>
          </w:tcPr>
          <w:p w14:paraId="0140D8F0" w14:textId="716D4553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62,91</w:t>
            </w:r>
          </w:p>
        </w:tc>
      </w:tr>
      <w:tr w:rsidR="00EB4D98" w:rsidRPr="00EB4D98" w14:paraId="70383FA5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5FC21C1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Troškovi plaća (plaće, naknade, doprinosi) </w:t>
            </w:r>
          </w:p>
        </w:tc>
        <w:tc>
          <w:tcPr>
            <w:tcW w:w="960" w:type="dxa"/>
            <w:noWrap/>
            <w:hideMark/>
          </w:tcPr>
          <w:p w14:paraId="24A7BBCC" w14:textId="53E3611A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6,58</w:t>
            </w:r>
          </w:p>
        </w:tc>
        <w:tc>
          <w:tcPr>
            <w:tcW w:w="960" w:type="dxa"/>
            <w:noWrap/>
            <w:hideMark/>
          </w:tcPr>
          <w:p w14:paraId="51DC58A0" w14:textId="22489E32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9,43</w:t>
            </w:r>
          </w:p>
        </w:tc>
        <w:tc>
          <w:tcPr>
            <w:tcW w:w="960" w:type="dxa"/>
            <w:noWrap/>
            <w:hideMark/>
          </w:tcPr>
          <w:p w14:paraId="0D40D1F6" w14:textId="47F2A5C9" w:rsidR="00EB4D98" w:rsidRPr="00EB4D98" w:rsidRDefault="002A2200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16,93</w:t>
            </w:r>
          </w:p>
        </w:tc>
        <w:tc>
          <w:tcPr>
            <w:tcW w:w="960" w:type="dxa"/>
            <w:noWrap/>
            <w:hideMark/>
          </w:tcPr>
          <w:p w14:paraId="0AC38A0F" w14:textId="6BF01A4D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7,43</w:t>
            </w:r>
          </w:p>
        </w:tc>
        <w:tc>
          <w:tcPr>
            <w:tcW w:w="960" w:type="dxa"/>
            <w:noWrap/>
            <w:hideMark/>
          </w:tcPr>
          <w:p w14:paraId="0A942410" w14:textId="152AEC75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8,01</w:t>
            </w:r>
          </w:p>
        </w:tc>
      </w:tr>
      <w:tr w:rsidR="00EB4D98" w:rsidRPr="00EB4D98" w14:paraId="01EC7B8C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8EE81DF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Troškovi materijala i usluga</w:t>
            </w:r>
          </w:p>
        </w:tc>
        <w:tc>
          <w:tcPr>
            <w:tcW w:w="960" w:type="dxa"/>
            <w:noWrap/>
            <w:hideMark/>
          </w:tcPr>
          <w:p w14:paraId="30F91544" w14:textId="1EE4D662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7,45</w:t>
            </w:r>
          </w:p>
        </w:tc>
        <w:tc>
          <w:tcPr>
            <w:tcW w:w="960" w:type="dxa"/>
            <w:noWrap/>
            <w:hideMark/>
          </w:tcPr>
          <w:p w14:paraId="5EB18F98" w14:textId="7DBA75A5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8,08</w:t>
            </w:r>
          </w:p>
        </w:tc>
        <w:tc>
          <w:tcPr>
            <w:tcW w:w="960" w:type="dxa"/>
            <w:noWrap/>
            <w:hideMark/>
          </w:tcPr>
          <w:p w14:paraId="5CDE9568" w14:textId="38C17666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8,08</w:t>
            </w:r>
          </w:p>
        </w:tc>
        <w:tc>
          <w:tcPr>
            <w:tcW w:w="960" w:type="dxa"/>
            <w:noWrap/>
            <w:hideMark/>
          </w:tcPr>
          <w:p w14:paraId="621692CB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6,61</w:t>
            </w:r>
          </w:p>
        </w:tc>
        <w:tc>
          <w:tcPr>
            <w:tcW w:w="960" w:type="dxa"/>
            <w:noWrap/>
            <w:hideMark/>
          </w:tcPr>
          <w:p w14:paraId="170A51B0" w14:textId="7777777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6,81</w:t>
            </w:r>
          </w:p>
        </w:tc>
      </w:tr>
      <w:tr w:rsidR="00EB4D98" w:rsidRPr="00EB4D98" w14:paraId="10DECA62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684C5C95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Tekući transferi/potpore</w:t>
            </w:r>
          </w:p>
        </w:tc>
        <w:tc>
          <w:tcPr>
            <w:tcW w:w="960" w:type="dxa"/>
            <w:noWrap/>
            <w:hideMark/>
          </w:tcPr>
          <w:p w14:paraId="5488BF35" w14:textId="454BFEE4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5,50</w:t>
            </w:r>
          </w:p>
        </w:tc>
        <w:tc>
          <w:tcPr>
            <w:tcW w:w="960" w:type="dxa"/>
            <w:noWrap/>
            <w:hideMark/>
          </w:tcPr>
          <w:p w14:paraId="1D1C477F" w14:textId="641F0D7E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7,80</w:t>
            </w:r>
          </w:p>
        </w:tc>
        <w:tc>
          <w:tcPr>
            <w:tcW w:w="960" w:type="dxa"/>
            <w:noWrap/>
            <w:hideMark/>
          </w:tcPr>
          <w:p w14:paraId="60EF948C" w14:textId="318F5E06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5,96</w:t>
            </w:r>
          </w:p>
        </w:tc>
        <w:tc>
          <w:tcPr>
            <w:tcW w:w="960" w:type="dxa"/>
            <w:noWrap/>
            <w:hideMark/>
          </w:tcPr>
          <w:p w14:paraId="6222AEA7" w14:textId="0CDE5E3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6,46</w:t>
            </w:r>
          </w:p>
        </w:tc>
        <w:tc>
          <w:tcPr>
            <w:tcW w:w="960" w:type="dxa"/>
            <w:noWrap/>
            <w:hideMark/>
          </w:tcPr>
          <w:p w14:paraId="679316CE" w14:textId="216CFC13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sz w:val="18"/>
                <w:szCs w:val="18"/>
              </w:rPr>
              <w:t>7,00</w:t>
            </w:r>
          </w:p>
        </w:tc>
      </w:tr>
      <w:tr w:rsidR="00EB4D98" w:rsidRPr="00EB4D98" w14:paraId="227B8394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E06DA82" w14:textId="77777777" w:rsidR="00EB4D98" w:rsidRPr="00EB4D98" w:rsidRDefault="00EB4D98" w:rsidP="00EB4D98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         Kapitalne potpore</w:t>
            </w:r>
          </w:p>
        </w:tc>
        <w:tc>
          <w:tcPr>
            <w:tcW w:w="960" w:type="dxa"/>
            <w:noWrap/>
            <w:hideMark/>
          </w:tcPr>
          <w:p w14:paraId="77F97CF2" w14:textId="03658E6B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960" w:type="dxa"/>
            <w:noWrap/>
            <w:hideMark/>
          </w:tcPr>
          <w:p w14:paraId="393B5A4F" w14:textId="6CE77AA0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35044F0F" w14:textId="72EFAC70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2,45</w:t>
            </w:r>
          </w:p>
        </w:tc>
        <w:tc>
          <w:tcPr>
            <w:tcW w:w="960" w:type="dxa"/>
            <w:noWrap/>
            <w:hideMark/>
          </w:tcPr>
          <w:p w14:paraId="0159BB6F" w14:textId="4D57F32B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2,53</w:t>
            </w:r>
          </w:p>
        </w:tc>
        <w:tc>
          <w:tcPr>
            <w:tcW w:w="960" w:type="dxa"/>
            <w:noWrap/>
            <w:hideMark/>
          </w:tcPr>
          <w:p w14:paraId="6A7841A7" w14:textId="0F2B99DB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2,61</w:t>
            </w:r>
          </w:p>
        </w:tc>
      </w:tr>
      <w:tr w:rsidR="00EB4D98" w:rsidRPr="00EB4D98" w14:paraId="0F56D0A0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77396E2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Kamate </w:t>
            </w:r>
          </w:p>
        </w:tc>
        <w:tc>
          <w:tcPr>
            <w:tcW w:w="960" w:type="dxa"/>
            <w:noWrap/>
            <w:hideMark/>
          </w:tcPr>
          <w:p w14:paraId="28705F4E" w14:textId="7CC4DA1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0,2</w:t>
            </w:r>
            <w:r w:rsidR="002A220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A04E8E8" w14:textId="34F2D52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2A220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2968079D" w14:textId="438FBE8B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2A220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60" w:type="dxa"/>
            <w:noWrap/>
            <w:hideMark/>
          </w:tcPr>
          <w:p w14:paraId="16F8EB47" w14:textId="439C2638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2A2200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60" w:type="dxa"/>
            <w:noWrap/>
            <w:hideMark/>
          </w:tcPr>
          <w:p w14:paraId="6666C314" w14:textId="2A8A8F5C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>0,</w:t>
            </w:r>
            <w:r w:rsidR="002A2200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EB4D98" w:rsidRPr="00EB4D98" w14:paraId="7D781D3E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108E555B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Kapitalni rashodi</w:t>
            </w:r>
          </w:p>
        </w:tc>
        <w:tc>
          <w:tcPr>
            <w:tcW w:w="960" w:type="dxa"/>
            <w:noWrap/>
            <w:hideMark/>
          </w:tcPr>
          <w:p w14:paraId="3F6D459F" w14:textId="7C69173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60" w:type="dxa"/>
            <w:noWrap/>
            <w:hideMark/>
          </w:tcPr>
          <w:p w14:paraId="5E14BC20" w14:textId="00144CEE" w:rsidR="00EB4D98" w:rsidRPr="00EB4D98" w:rsidRDefault="002A2200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960" w:type="dxa"/>
            <w:noWrap/>
            <w:hideMark/>
          </w:tcPr>
          <w:p w14:paraId="5C820FE2" w14:textId="6F9BC22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60" w:type="dxa"/>
            <w:noWrap/>
            <w:hideMark/>
          </w:tcPr>
          <w:p w14:paraId="04A83F66" w14:textId="22D3DAE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60" w:type="dxa"/>
            <w:noWrap/>
            <w:hideMark/>
          </w:tcPr>
          <w:p w14:paraId="4594EDEB" w14:textId="00A06DD6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A2200"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</w:tr>
      <w:tr w:rsidR="00EB4D98" w:rsidRPr="00EB4D98" w14:paraId="09A0B50C" w14:textId="77777777" w:rsidTr="00822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0406E1AB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sz w:val="18"/>
                <w:szCs w:val="18"/>
              </w:rPr>
            </w:pPr>
            <w:r w:rsidRPr="00EB4D98">
              <w:rPr>
                <w:rFonts w:ascii="Arial" w:hAnsi="Arial" w:cs="Arial"/>
                <w:sz w:val="18"/>
                <w:szCs w:val="18"/>
              </w:rPr>
              <w:t xml:space="preserve">Rashodi izvanproračunskih fondova </w:t>
            </w:r>
          </w:p>
        </w:tc>
        <w:tc>
          <w:tcPr>
            <w:tcW w:w="960" w:type="dxa"/>
            <w:noWrap/>
            <w:hideMark/>
          </w:tcPr>
          <w:p w14:paraId="170C0044" w14:textId="131A69DC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52,44</w:t>
            </w:r>
          </w:p>
        </w:tc>
        <w:tc>
          <w:tcPr>
            <w:tcW w:w="960" w:type="dxa"/>
            <w:noWrap/>
            <w:hideMark/>
          </w:tcPr>
          <w:p w14:paraId="4272EB72" w14:textId="48DCEBF2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60,46</w:t>
            </w:r>
          </w:p>
        </w:tc>
        <w:tc>
          <w:tcPr>
            <w:tcW w:w="960" w:type="dxa"/>
            <w:noWrap/>
            <w:hideMark/>
          </w:tcPr>
          <w:p w14:paraId="4DBF5DD6" w14:textId="6910B164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58,30</w:t>
            </w:r>
          </w:p>
        </w:tc>
        <w:tc>
          <w:tcPr>
            <w:tcW w:w="960" w:type="dxa"/>
            <w:noWrap/>
            <w:hideMark/>
          </w:tcPr>
          <w:p w14:paraId="417FCA63" w14:textId="0FD3303F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60,12</w:t>
            </w:r>
          </w:p>
        </w:tc>
        <w:tc>
          <w:tcPr>
            <w:tcW w:w="960" w:type="dxa"/>
            <w:noWrap/>
            <w:hideMark/>
          </w:tcPr>
          <w:p w14:paraId="5E84042A" w14:textId="16CE7469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62,10</w:t>
            </w:r>
          </w:p>
        </w:tc>
      </w:tr>
      <w:tr w:rsidR="00EB4D98" w:rsidRPr="00EB4D98" w14:paraId="2BF41684" w14:textId="77777777" w:rsidTr="0082227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754E5583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 xml:space="preserve"> Zavod zdravstvenog osiguranja </w:t>
            </w:r>
          </w:p>
        </w:tc>
        <w:tc>
          <w:tcPr>
            <w:tcW w:w="960" w:type="dxa"/>
            <w:noWrap/>
            <w:hideMark/>
          </w:tcPr>
          <w:p w14:paraId="59337FB8" w14:textId="256A8BBD" w:rsidR="00EB4D98" w:rsidRPr="00EB4D98" w:rsidRDefault="00A27E4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47,74</w:t>
            </w:r>
          </w:p>
        </w:tc>
        <w:tc>
          <w:tcPr>
            <w:tcW w:w="960" w:type="dxa"/>
            <w:noWrap/>
            <w:hideMark/>
          </w:tcPr>
          <w:p w14:paraId="27B79CDF" w14:textId="7351F428" w:rsidR="00EB4D98" w:rsidRPr="00EB4D98" w:rsidRDefault="00A27E4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54,70</w:t>
            </w:r>
          </w:p>
        </w:tc>
        <w:tc>
          <w:tcPr>
            <w:tcW w:w="960" w:type="dxa"/>
            <w:noWrap/>
            <w:hideMark/>
          </w:tcPr>
          <w:p w14:paraId="4A09E77C" w14:textId="5088D264" w:rsidR="00EB4D98" w:rsidRPr="00EB4D98" w:rsidRDefault="00A27E4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53,37</w:t>
            </w:r>
          </w:p>
        </w:tc>
        <w:tc>
          <w:tcPr>
            <w:tcW w:w="960" w:type="dxa"/>
            <w:noWrap/>
            <w:hideMark/>
          </w:tcPr>
          <w:p w14:paraId="79025D08" w14:textId="13E25B3F" w:rsidR="00EB4D98" w:rsidRPr="00EB4D98" w:rsidRDefault="00A27E4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55,03</w:t>
            </w:r>
          </w:p>
        </w:tc>
        <w:tc>
          <w:tcPr>
            <w:tcW w:w="960" w:type="dxa"/>
            <w:noWrap/>
            <w:hideMark/>
          </w:tcPr>
          <w:p w14:paraId="6AB7E5B4" w14:textId="1E50DB9A" w:rsidR="00EB4D98" w:rsidRPr="00EB4D98" w:rsidRDefault="00A27E4C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56,84</w:t>
            </w:r>
          </w:p>
        </w:tc>
      </w:tr>
      <w:tr w:rsidR="00EB4D98" w:rsidRPr="00EB4D98" w14:paraId="5DB38C7B" w14:textId="77777777" w:rsidTr="0070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4E107D8D" w14:textId="77777777" w:rsidR="00EB4D98" w:rsidRPr="00EB4D98" w:rsidRDefault="00EB4D98" w:rsidP="00EB4D98">
            <w:pPr>
              <w:ind w:firstLineChars="300" w:firstLine="54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D98">
              <w:rPr>
                <w:rFonts w:ascii="Arial" w:hAnsi="Arial" w:cs="Arial"/>
                <w:b w:val="0"/>
                <w:sz w:val="18"/>
                <w:szCs w:val="18"/>
              </w:rPr>
              <w:t> Zavod za zapošljavanje</w:t>
            </w:r>
          </w:p>
        </w:tc>
        <w:tc>
          <w:tcPr>
            <w:tcW w:w="960" w:type="dxa"/>
            <w:noWrap/>
            <w:hideMark/>
          </w:tcPr>
          <w:p w14:paraId="69AD5B85" w14:textId="09C81859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4,70</w:t>
            </w:r>
          </w:p>
        </w:tc>
        <w:tc>
          <w:tcPr>
            <w:tcW w:w="960" w:type="dxa"/>
            <w:noWrap/>
            <w:hideMark/>
          </w:tcPr>
          <w:p w14:paraId="3A9CDA3A" w14:textId="44D5CBB6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5,76</w:t>
            </w:r>
          </w:p>
        </w:tc>
        <w:tc>
          <w:tcPr>
            <w:tcW w:w="960" w:type="dxa"/>
            <w:noWrap/>
            <w:hideMark/>
          </w:tcPr>
          <w:p w14:paraId="2E6CC5E7" w14:textId="29B9B2FC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4,93</w:t>
            </w:r>
          </w:p>
        </w:tc>
        <w:tc>
          <w:tcPr>
            <w:tcW w:w="960" w:type="dxa"/>
            <w:noWrap/>
            <w:hideMark/>
          </w:tcPr>
          <w:p w14:paraId="1DF0F8CD" w14:textId="27846F72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5,09</w:t>
            </w:r>
          </w:p>
        </w:tc>
        <w:tc>
          <w:tcPr>
            <w:tcW w:w="960" w:type="dxa"/>
            <w:noWrap/>
            <w:hideMark/>
          </w:tcPr>
          <w:p w14:paraId="408587B2" w14:textId="28CCF96E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5,26</w:t>
            </w:r>
          </w:p>
        </w:tc>
      </w:tr>
      <w:tr w:rsidR="00EB4D98" w:rsidRPr="00EB4D98" w14:paraId="37F7AA24" w14:textId="77777777" w:rsidTr="0070430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4C213C33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PRIMARNA FISKALNA TABLICA</w:t>
            </w:r>
          </w:p>
        </w:tc>
        <w:tc>
          <w:tcPr>
            <w:tcW w:w="96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320F517C" w14:textId="50AC95B4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</w:t>
            </w:r>
            <w:r w:rsidR="00A27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10B5DD8A" w14:textId="5979F447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A27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6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2C00A24B" w14:textId="3CA45F4C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</w:t>
            </w:r>
            <w:r w:rsidR="00A27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2F5EE2B3" w14:textId="46F2795F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A27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,26</w:t>
            </w:r>
          </w:p>
        </w:tc>
        <w:tc>
          <w:tcPr>
            <w:tcW w:w="96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8DB3E2" w:themeFill="text2" w:themeFillTint="66"/>
            <w:noWrap/>
            <w:hideMark/>
          </w:tcPr>
          <w:p w14:paraId="662BC37E" w14:textId="189BD218" w:rsidR="00EB4D98" w:rsidRPr="00EB4D98" w:rsidRDefault="00EB4D98" w:rsidP="00EB4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</w:t>
            </w:r>
            <w:r w:rsidR="00A27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EB4D98" w:rsidRPr="00EB4D98" w14:paraId="5C37C123" w14:textId="77777777" w:rsidTr="0070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1" w:type="dxa"/>
            <w:noWrap/>
            <w:hideMark/>
          </w:tcPr>
          <w:p w14:paraId="3346FA1A" w14:textId="77777777" w:rsidR="00EB4D98" w:rsidRPr="00EB4D98" w:rsidRDefault="00EB4D98" w:rsidP="00EB4D98">
            <w:pPr>
              <w:ind w:firstLineChars="100" w:firstLine="18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color w:val="000000"/>
                <w:sz w:val="18"/>
                <w:szCs w:val="18"/>
              </w:rPr>
              <w:t>UKUPNO FINANCIRANJE</w:t>
            </w:r>
          </w:p>
        </w:tc>
        <w:tc>
          <w:tcPr>
            <w:tcW w:w="960" w:type="dxa"/>
            <w:noWrap/>
            <w:hideMark/>
          </w:tcPr>
          <w:p w14:paraId="44F574D0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8F2057" w14:textId="4F3D08D2" w:rsidR="00EB4D98" w:rsidRPr="00EB4D98" w:rsidRDefault="00A27E4C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60" w:type="dxa"/>
            <w:noWrap/>
            <w:hideMark/>
          </w:tcPr>
          <w:p w14:paraId="68D855BC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5E0CF9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9249A15" w14:textId="77777777" w:rsidR="00EB4D98" w:rsidRPr="00EB4D98" w:rsidRDefault="00EB4D98" w:rsidP="00EB4D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B4D9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</w:tbl>
    <w:p w14:paraId="61F94DAE" w14:textId="77777777" w:rsidR="00754CCC" w:rsidRDefault="00754CCC" w:rsidP="00754CCC"/>
    <w:p w14:paraId="3425F09E" w14:textId="77777777" w:rsidR="00754CCC" w:rsidRDefault="00754CCC" w:rsidP="00754CCC"/>
    <w:p w14:paraId="2E8CA029" w14:textId="77777777" w:rsidR="00754CCC" w:rsidRPr="00DC6D07" w:rsidRDefault="00754CCC" w:rsidP="00754CCC">
      <w:pPr>
        <w:ind w:firstLine="708"/>
        <w:jc w:val="both"/>
        <w:rPr>
          <w:color w:val="000000" w:themeColor="text1"/>
          <w:sz w:val="24"/>
          <w:szCs w:val="24"/>
        </w:rPr>
      </w:pPr>
      <w:r w:rsidRPr="00DC6D07">
        <w:rPr>
          <w:color w:val="000000" w:themeColor="text1"/>
          <w:sz w:val="24"/>
          <w:szCs w:val="24"/>
        </w:rPr>
        <w:t xml:space="preserve">Primarna fiskalna bilanca za Hercegbosansku županiju, općine i županijske zavode uravnotežuje se računom financiranja, kako je to za Hercegbosansku županiju prikazano u tablicama </w:t>
      </w:r>
      <w:r w:rsidR="00BF6375">
        <w:rPr>
          <w:color w:val="000000" w:themeColor="text1"/>
          <w:sz w:val="24"/>
          <w:szCs w:val="24"/>
        </w:rPr>
        <w:t>7. i 8</w:t>
      </w:r>
      <w:r w:rsidRPr="00DC6D07">
        <w:rPr>
          <w:color w:val="000000" w:themeColor="text1"/>
          <w:sz w:val="24"/>
          <w:szCs w:val="24"/>
        </w:rPr>
        <w:t xml:space="preserve">. </w:t>
      </w:r>
    </w:p>
    <w:p w14:paraId="63E918AA" w14:textId="77777777" w:rsidR="00754CCC" w:rsidRPr="009D1F33" w:rsidRDefault="00754CCC" w:rsidP="00754CCC">
      <w:pPr>
        <w:ind w:firstLine="708"/>
        <w:jc w:val="both"/>
        <w:rPr>
          <w:color w:val="FF0000"/>
          <w:sz w:val="24"/>
          <w:szCs w:val="24"/>
        </w:rPr>
      </w:pPr>
    </w:p>
    <w:p w14:paraId="00640E73" w14:textId="6BD40E70" w:rsidR="00A8178E" w:rsidRDefault="00754CCC" w:rsidP="00BF07B9">
      <w:pPr>
        <w:ind w:firstLine="708"/>
        <w:jc w:val="both"/>
        <w:rPr>
          <w:color w:val="000000" w:themeColor="text1"/>
          <w:sz w:val="24"/>
          <w:szCs w:val="24"/>
        </w:rPr>
      </w:pPr>
      <w:r w:rsidRPr="00BC2880">
        <w:rPr>
          <w:color w:val="000000" w:themeColor="text1"/>
          <w:sz w:val="24"/>
          <w:szCs w:val="24"/>
        </w:rPr>
        <w:t>Ukupni primarni prihodi na razini Župa</w:t>
      </w:r>
      <w:r w:rsidR="00EB4D98">
        <w:rPr>
          <w:color w:val="000000" w:themeColor="text1"/>
          <w:sz w:val="24"/>
          <w:szCs w:val="24"/>
        </w:rPr>
        <w:t>nije prema planu prihoda za 202</w:t>
      </w:r>
      <w:r w:rsidR="00A27E4C">
        <w:rPr>
          <w:color w:val="000000" w:themeColor="text1"/>
          <w:sz w:val="24"/>
          <w:szCs w:val="24"/>
        </w:rPr>
        <w:t>5</w:t>
      </w:r>
      <w:r w:rsidRPr="00BC2880">
        <w:rPr>
          <w:color w:val="000000" w:themeColor="text1"/>
          <w:sz w:val="24"/>
          <w:szCs w:val="24"/>
        </w:rPr>
        <w:t xml:space="preserve">. godinu iznose </w:t>
      </w:r>
      <w:r w:rsidR="00A27E4C">
        <w:rPr>
          <w:color w:val="000000" w:themeColor="text1"/>
          <w:sz w:val="24"/>
          <w:szCs w:val="24"/>
        </w:rPr>
        <w:t xml:space="preserve">247,67 </w:t>
      </w:r>
      <w:proofErr w:type="spellStart"/>
      <w:r w:rsidR="00EB4D98">
        <w:rPr>
          <w:color w:val="000000" w:themeColor="text1"/>
          <w:sz w:val="24"/>
          <w:szCs w:val="24"/>
        </w:rPr>
        <w:t>mil</w:t>
      </w:r>
      <w:proofErr w:type="spellEnd"/>
      <w:r w:rsidR="00EB4D98">
        <w:rPr>
          <w:color w:val="000000" w:themeColor="text1"/>
          <w:sz w:val="24"/>
          <w:szCs w:val="24"/>
        </w:rPr>
        <w:t>. KM, a projekcija za 202</w:t>
      </w:r>
      <w:r w:rsidR="00061AED">
        <w:rPr>
          <w:color w:val="000000" w:themeColor="text1"/>
          <w:sz w:val="24"/>
          <w:szCs w:val="24"/>
        </w:rPr>
        <w:t>7</w:t>
      </w:r>
      <w:r w:rsidRPr="00BC2880">
        <w:rPr>
          <w:color w:val="000000" w:themeColor="text1"/>
          <w:sz w:val="24"/>
          <w:szCs w:val="24"/>
        </w:rPr>
        <w:t xml:space="preserve">. godinu je </w:t>
      </w:r>
      <w:r w:rsidR="00061AED">
        <w:rPr>
          <w:color w:val="000000" w:themeColor="text1"/>
          <w:sz w:val="24"/>
          <w:szCs w:val="24"/>
        </w:rPr>
        <w:t>277,82</w:t>
      </w:r>
      <w:r w:rsidR="00EB4D98">
        <w:rPr>
          <w:color w:val="000000" w:themeColor="text1"/>
          <w:sz w:val="24"/>
          <w:szCs w:val="24"/>
        </w:rPr>
        <w:t>mil. KM; za 202</w:t>
      </w:r>
      <w:r w:rsidR="00061AED">
        <w:rPr>
          <w:color w:val="000000" w:themeColor="text1"/>
          <w:sz w:val="24"/>
          <w:szCs w:val="24"/>
        </w:rPr>
        <w:t>8</w:t>
      </w:r>
      <w:r w:rsidRPr="00BC2880">
        <w:rPr>
          <w:color w:val="000000" w:themeColor="text1"/>
          <w:sz w:val="24"/>
          <w:szCs w:val="24"/>
        </w:rPr>
        <w:t xml:space="preserve">. godinu </w:t>
      </w:r>
      <w:r w:rsidR="00061AED">
        <w:rPr>
          <w:color w:val="000000" w:themeColor="text1"/>
          <w:sz w:val="24"/>
          <w:szCs w:val="24"/>
        </w:rPr>
        <w:t>288,50</w:t>
      </w:r>
      <w:r w:rsidR="00EB4D98">
        <w:rPr>
          <w:color w:val="000000" w:themeColor="text1"/>
          <w:sz w:val="24"/>
          <w:szCs w:val="24"/>
        </w:rPr>
        <w:t xml:space="preserve"> </w:t>
      </w:r>
      <w:proofErr w:type="spellStart"/>
      <w:r w:rsidR="00EB4D98">
        <w:rPr>
          <w:color w:val="000000" w:themeColor="text1"/>
          <w:sz w:val="24"/>
          <w:szCs w:val="24"/>
        </w:rPr>
        <w:t>mil</w:t>
      </w:r>
      <w:proofErr w:type="spellEnd"/>
      <w:r w:rsidR="00EB4D98">
        <w:rPr>
          <w:color w:val="000000" w:themeColor="text1"/>
          <w:sz w:val="24"/>
          <w:szCs w:val="24"/>
        </w:rPr>
        <w:t>. KM i za 202</w:t>
      </w:r>
      <w:r w:rsidR="00061AED">
        <w:rPr>
          <w:color w:val="000000" w:themeColor="text1"/>
          <w:sz w:val="24"/>
          <w:szCs w:val="24"/>
        </w:rPr>
        <w:t>9</w:t>
      </w:r>
      <w:r w:rsidRPr="00BC2880">
        <w:rPr>
          <w:color w:val="000000" w:themeColor="text1"/>
          <w:sz w:val="24"/>
          <w:szCs w:val="24"/>
        </w:rPr>
        <w:t xml:space="preserve">.godinu </w:t>
      </w:r>
      <w:r w:rsidR="00061AED">
        <w:rPr>
          <w:color w:val="000000" w:themeColor="text1"/>
          <w:sz w:val="24"/>
          <w:szCs w:val="24"/>
        </w:rPr>
        <w:t>301,08</w:t>
      </w:r>
      <w:r w:rsidRPr="00BC2880">
        <w:rPr>
          <w:color w:val="000000" w:themeColor="text1"/>
          <w:sz w:val="24"/>
          <w:szCs w:val="24"/>
        </w:rPr>
        <w:t xml:space="preserve"> </w:t>
      </w:r>
      <w:proofErr w:type="spellStart"/>
      <w:r w:rsidRPr="00BC2880">
        <w:rPr>
          <w:color w:val="000000" w:themeColor="text1"/>
          <w:sz w:val="24"/>
          <w:szCs w:val="24"/>
        </w:rPr>
        <w:t>mil</w:t>
      </w:r>
      <w:proofErr w:type="spellEnd"/>
      <w:r w:rsidRPr="00BC2880">
        <w:rPr>
          <w:color w:val="000000" w:themeColor="text1"/>
          <w:sz w:val="24"/>
          <w:szCs w:val="24"/>
        </w:rPr>
        <w:t>. KM.</w:t>
      </w:r>
      <w:r w:rsidR="00A8178E">
        <w:rPr>
          <w:color w:val="000000" w:themeColor="text1"/>
          <w:sz w:val="24"/>
          <w:szCs w:val="24"/>
        </w:rPr>
        <w:t xml:space="preserve"> i </w:t>
      </w:r>
      <w:r w:rsidR="00A8178E" w:rsidRPr="00BC2880">
        <w:rPr>
          <w:color w:val="000000" w:themeColor="text1"/>
          <w:sz w:val="24"/>
          <w:szCs w:val="24"/>
        </w:rPr>
        <w:t>predstavlja značajan potencijal za Hercegbosansku županiju.</w:t>
      </w:r>
      <w:r w:rsidR="00A8178E">
        <w:rPr>
          <w:color w:val="000000" w:themeColor="text1"/>
          <w:sz w:val="24"/>
          <w:szCs w:val="24"/>
        </w:rPr>
        <w:t xml:space="preserve"> </w:t>
      </w:r>
      <w:r w:rsidRPr="00BC2880">
        <w:rPr>
          <w:color w:val="000000" w:themeColor="text1"/>
          <w:sz w:val="24"/>
          <w:szCs w:val="24"/>
        </w:rPr>
        <w:t xml:space="preserve"> </w:t>
      </w:r>
    </w:p>
    <w:p w14:paraId="198AF958" w14:textId="77777777" w:rsidR="00FE0EAB" w:rsidRDefault="00FE0EAB" w:rsidP="00754CCC">
      <w:pPr>
        <w:ind w:firstLine="708"/>
        <w:jc w:val="both"/>
        <w:rPr>
          <w:color w:val="000000" w:themeColor="text1"/>
          <w:sz w:val="24"/>
          <w:szCs w:val="24"/>
        </w:rPr>
      </w:pPr>
    </w:p>
    <w:p w14:paraId="038C54DA" w14:textId="7C9C470D" w:rsidR="00BE3D7E" w:rsidRDefault="00FE0EAB" w:rsidP="00754CCC">
      <w:pPr>
        <w:ind w:firstLine="708"/>
        <w:jc w:val="both"/>
        <w:rPr>
          <w:sz w:val="24"/>
          <w:szCs w:val="24"/>
        </w:rPr>
      </w:pPr>
      <w:r w:rsidRPr="0070095E">
        <w:rPr>
          <w:sz w:val="24"/>
          <w:szCs w:val="24"/>
        </w:rPr>
        <w:t>Projekcija pri</w:t>
      </w:r>
      <w:r w:rsidR="00BE3D7E">
        <w:rPr>
          <w:sz w:val="24"/>
          <w:szCs w:val="24"/>
        </w:rPr>
        <w:t>hoda i rashoda za razdoblje 202</w:t>
      </w:r>
      <w:r w:rsidR="00061AED">
        <w:rPr>
          <w:sz w:val="24"/>
          <w:szCs w:val="24"/>
        </w:rPr>
        <w:t>6</w:t>
      </w:r>
      <w:r w:rsidRPr="0070095E">
        <w:rPr>
          <w:sz w:val="24"/>
          <w:szCs w:val="24"/>
        </w:rPr>
        <w:t>. – 202</w:t>
      </w:r>
      <w:r w:rsidR="00061AED">
        <w:rPr>
          <w:sz w:val="24"/>
          <w:szCs w:val="24"/>
        </w:rPr>
        <w:t>9</w:t>
      </w:r>
      <w:r w:rsidRPr="0070095E">
        <w:rPr>
          <w:sz w:val="24"/>
          <w:szCs w:val="24"/>
        </w:rPr>
        <w:t xml:space="preserve">. </w:t>
      </w:r>
      <w:r>
        <w:rPr>
          <w:sz w:val="24"/>
          <w:szCs w:val="24"/>
        </w:rPr>
        <w:t>i</w:t>
      </w:r>
      <w:r w:rsidRPr="0070095E">
        <w:rPr>
          <w:sz w:val="24"/>
          <w:szCs w:val="24"/>
        </w:rPr>
        <w:t>zvršena</w:t>
      </w:r>
      <w:r>
        <w:rPr>
          <w:sz w:val="24"/>
          <w:szCs w:val="24"/>
        </w:rPr>
        <w:t xml:space="preserve"> </w:t>
      </w:r>
      <w:r w:rsidR="00BE3D7E">
        <w:rPr>
          <w:sz w:val="24"/>
          <w:szCs w:val="24"/>
        </w:rPr>
        <w:t>je na temelju ostvarenja za 202</w:t>
      </w:r>
      <w:r w:rsidR="00061AED">
        <w:rPr>
          <w:sz w:val="24"/>
          <w:szCs w:val="24"/>
        </w:rPr>
        <w:t>5</w:t>
      </w:r>
      <w:r w:rsidRPr="0070095E">
        <w:rPr>
          <w:sz w:val="24"/>
          <w:szCs w:val="24"/>
        </w:rPr>
        <w:t xml:space="preserve">. godinu, korigirana </w:t>
      </w:r>
      <w:r w:rsidR="00BE3D7E">
        <w:rPr>
          <w:sz w:val="24"/>
          <w:szCs w:val="24"/>
        </w:rPr>
        <w:t xml:space="preserve">prosječnim </w:t>
      </w:r>
      <w:r w:rsidRPr="0070095E">
        <w:rPr>
          <w:sz w:val="24"/>
          <w:szCs w:val="24"/>
        </w:rPr>
        <w:t>postotkom rasta realnog BDP-a za Federaciju BiH, odnosno za Bosnu i Hercegovinu</w:t>
      </w:r>
      <w:r w:rsidR="00BE3D7E">
        <w:rPr>
          <w:sz w:val="24"/>
          <w:szCs w:val="24"/>
        </w:rPr>
        <w:t xml:space="preserve"> u srednjoročnom razdoblju. </w:t>
      </w:r>
    </w:p>
    <w:p w14:paraId="399FF3A9" w14:textId="77777777" w:rsidR="00BE3D7E" w:rsidRDefault="00BE3D7E" w:rsidP="00754CCC">
      <w:pPr>
        <w:ind w:firstLine="708"/>
        <w:jc w:val="both"/>
        <w:rPr>
          <w:sz w:val="24"/>
          <w:szCs w:val="24"/>
        </w:rPr>
      </w:pPr>
    </w:p>
    <w:p w14:paraId="48537CD5" w14:textId="548FA28A" w:rsidR="00A8178E" w:rsidRDefault="00BE3D7E" w:rsidP="00754CCC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Prema fiskalnoj tablici u razdoblju neće biti potrebno financiranje županija, općina i zavoda</w:t>
      </w:r>
      <w:r w:rsidR="00FE0EAB">
        <w:rPr>
          <w:sz w:val="24"/>
          <w:szCs w:val="24"/>
        </w:rPr>
        <w:t>,</w:t>
      </w:r>
      <w:r>
        <w:rPr>
          <w:sz w:val="24"/>
          <w:szCs w:val="24"/>
        </w:rPr>
        <w:t xml:space="preserve"> no budući da se u izvršenjima proračuna kapitalni izdaci u 202</w:t>
      </w:r>
      <w:r w:rsidR="00061AED">
        <w:rPr>
          <w:sz w:val="24"/>
          <w:szCs w:val="24"/>
        </w:rPr>
        <w:t>5</w:t>
      </w:r>
      <w:r>
        <w:rPr>
          <w:sz w:val="24"/>
          <w:szCs w:val="24"/>
        </w:rPr>
        <w:t xml:space="preserve">. godini nisu izvršili sukladno planiranoj razini, </w:t>
      </w:r>
      <w:r w:rsidR="00FE0EAB">
        <w:rPr>
          <w:sz w:val="24"/>
          <w:szCs w:val="24"/>
        </w:rPr>
        <w:t xml:space="preserve">biti </w:t>
      </w:r>
      <w:r>
        <w:rPr>
          <w:sz w:val="24"/>
          <w:szCs w:val="24"/>
        </w:rPr>
        <w:t xml:space="preserve">će </w:t>
      </w:r>
      <w:r w:rsidR="00FE0EAB">
        <w:rPr>
          <w:sz w:val="24"/>
          <w:szCs w:val="24"/>
        </w:rPr>
        <w:t xml:space="preserve">potrebno uskladiti proračune kontrolom rashoda ili nadoknaditi sredstva kroz kredite ili </w:t>
      </w:r>
      <w:r w:rsidR="00D50256">
        <w:rPr>
          <w:sz w:val="24"/>
          <w:szCs w:val="24"/>
        </w:rPr>
        <w:t xml:space="preserve">kroz </w:t>
      </w:r>
      <w:r w:rsidR="00FE0EAB">
        <w:rPr>
          <w:sz w:val="24"/>
          <w:szCs w:val="24"/>
        </w:rPr>
        <w:t>primit</w:t>
      </w:r>
      <w:r w:rsidR="00D50256">
        <w:rPr>
          <w:sz w:val="24"/>
          <w:szCs w:val="24"/>
        </w:rPr>
        <w:t>ke</w:t>
      </w:r>
      <w:r>
        <w:rPr>
          <w:sz w:val="24"/>
          <w:szCs w:val="24"/>
        </w:rPr>
        <w:t xml:space="preserve"> od financijske imovine, ako se ta vrsta izdataka bude izvršavana sukladno planovima proračuna.</w:t>
      </w:r>
    </w:p>
    <w:p w14:paraId="765127CA" w14:textId="77777777" w:rsidR="0059784A" w:rsidRDefault="0059784A" w:rsidP="00FE0EAB">
      <w:pPr>
        <w:pStyle w:val="Naslov1"/>
        <w:sectPr w:rsidR="0059784A" w:rsidSect="0070430E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pgNumType w:start="3"/>
          <w:cols w:space="708"/>
          <w:docGrid w:linePitch="360"/>
        </w:sectPr>
      </w:pPr>
      <w:bookmarkStart w:id="168" w:name="_Toc106015355"/>
    </w:p>
    <w:p w14:paraId="0EFFCAE8" w14:textId="002023BD" w:rsidR="00754CCC" w:rsidRDefault="00754CCC" w:rsidP="0028398E">
      <w:pPr>
        <w:pStyle w:val="Naslov1"/>
        <w:spacing w:before="0"/>
        <w:jc w:val="center"/>
      </w:pPr>
      <w:bookmarkStart w:id="169" w:name="_Toc232407848"/>
      <w:r w:rsidRPr="009F7CF8">
        <w:lastRenderedPageBreak/>
        <w:t>Okvirni prijedlog razine (plafoni) financijskih planova</w:t>
      </w:r>
      <w:r>
        <w:t xml:space="preserve"> proračunskih korisnika Hercegbos</w:t>
      </w:r>
      <w:r w:rsidR="00CC4C08">
        <w:t>anske županije za razdoblje 202</w:t>
      </w:r>
      <w:r w:rsidR="0028398E">
        <w:t>7</w:t>
      </w:r>
      <w:r>
        <w:t>.- 2</w:t>
      </w:r>
      <w:r w:rsidR="00CC4C08">
        <w:t>02</w:t>
      </w:r>
      <w:r w:rsidR="0028398E">
        <w:t>9</w:t>
      </w:r>
      <w:r>
        <w:t>. godine</w:t>
      </w:r>
      <w:bookmarkEnd w:id="168"/>
      <w:bookmarkEnd w:id="169"/>
    </w:p>
    <w:p w14:paraId="0617EE84" w14:textId="77777777" w:rsidR="00754CCC" w:rsidRDefault="00754CCC" w:rsidP="0028398E">
      <w:pPr>
        <w:jc w:val="both"/>
        <w:rPr>
          <w:rFonts w:ascii="Arial" w:hAnsi="Arial" w:cs="Arial"/>
          <w:sz w:val="28"/>
        </w:rPr>
      </w:pPr>
    </w:p>
    <w:tbl>
      <w:tblPr>
        <w:tblW w:w="11499" w:type="dxa"/>
        <w:tblLook w:val="04A0" w:firstRow="1" w:lastRow="0" w:firstColumn="1" w:lastColumn="0" w:noHBand="0" w:noVBand="1"/>
      </w:tblPr>
      <w:tblGrid>
        <w:gridCol w:w="1387"/>
        <w:gridCol w:w="2479"/>
        <w:gridCol w:w="1285"/>
        <w:gridCol w:w="1033"/>
        <w:gridCol w:w="1242"/>
        <w:gridCol w:w="1033"/>
        <w:gridCol w:w="1242"/>
        <w:gridCol w:w="1033"/>
        <w:gridCol w:w="1242"/>
        <w:gridCol w:w="1033"/>
        <w:gridCol w:w="222"/>
      </w:tblGrid>
      <w:tr w:rsidR="002B4333" w:rsidRPr="002B4333" w14:paraId="377EC3F5" w14:textId="77777777" w:rsidTr="002B4333">
        <w:trPr>
          <w:gridAfter w:val="1"/>
          <w:wAfter w:w="36" w:type="dxa"/>
          <w:trHeight w:val="615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5373" w14:textId="77777777" w:rsidR="002B4333" w:rsidRPr="002B4333" w:rsidRDefault="002B4333" w:rsidP="002B4333">
            <w:pPr>
              <w:rPr>
                <w:sz w:val="24"/>
                <w:szCs w:val="24"/>
                <w:lang w:eastAsia="hr-HR"/>
              </w:rPr>
            </w:pPr>
          </w:p>
        </w:tc>
        <w:tc>
          <w:tcPr>
            <w:tcW w:w="92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7392B" w14:textId="7EED6700" w:rsidR="002B4333" w:rsidRPr="002B4333" w:rsidRDefault="002B4333" w:rsidP="002B43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1104" w14:textId="77777777" w:rsidR="002B4333" w:rsidRPr="002B4333" w:rsidRDefault="002B4333" w:rsidP="002B43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B4333" w:rsidRPr="002B4333" w14:paraId="750C1823" w14:textId="77777777" w:rsidTr="002B4333">
        <w:trPr>
          <w:gridAfter w:val="1"/>
          <w:wAfter w:w="36" w:type="dxa"/>
          <w:trHeight w:val="24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7170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8A95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7F7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1CD8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8D24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95E4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1050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A7A7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7C4C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4627" w14:textId="2FDD33E9" w:rsidR="002B4333" w:rsidRPr="002B4333" w:rsidRDefault="002B4333" w:rsidP="002B4333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hr-HR"/>
              </w:rPr>
            </w:pPr>
            <w:r w:rsidRPr="002B4333">
              <w:rPr>
                <w:rFonts w:ascii="Calibri" w:hAnsi="Calibri" w:cs="Calibri"/>
                <w:b/>
                <w:bCs/>
                <w:color w:val="000000"/>
                <w:szCs w:val="22"/>
                <w:lang w:eastAsia="hr-HR"/>
              </w:rPr>
              <w:t xml:space="preserve">   -  KM -</w:t>
            </w:r>
          </w:p>
        </w:tc>
      </w:tr>
      <w:tr w:rsidR="002B4333" w:rsidRPr="002B4333" w14:paraId="09BDD496" w14:textId="77777777" w:rsidTr="002B4333">
        <w:trPr>
          <w:gridAfter w:val="1"/>
          <w:wAfter w:w="36" w:type="dxa"/>
          <w:trHeight w:val="255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EBFA" w14:textId="77777777" w:rsidR="002B4333" w:rsidRPr="002B4333" w:rsidRDefault="002B4333" w:rsidP="002B4333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hr-H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B9FF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664C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3258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7C6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1FDF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78C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C1DC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0503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3A1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345F846" w14:textId="77777777" w:rsidTr="002B4333">
        <w:trPr>
          <w:gridAfter w:val="1"/>
          <w:wAfter w:w="36" w:type="dxa"/>
          <w:trHeight w:val="585"/>
        </w:trPr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5291298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ORGANIZACIJSKA KLASIFIKACIJA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5F1F76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KORISNIK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EAC22F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 xml:space="preserve">PRORAČUN 2026.g. (PRORAČUNSKA SREDSTVA) 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bottom"/>
            <w:hideMark/>
          </w:tcPr>
          <w:p w14:paraId="3CC58E88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PRORAČUN 2026.g. (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vl.i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 xml:space="preserve"> 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namj.prihodi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, donacije)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1F9D17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PRORAČUNSKA SREDSTVA 2027.g.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7E5CF2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2027.g.(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vl.i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 xml:space="preserve"> 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namj.prihodi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, donacije)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649980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PRORAČUNSKA SREDSTVA 2028.g.</w:t>
            </w:r>
          </w:p>
        </w:tc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059917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2028.g.(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vl.i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 xml:space="preserve"> 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namj.prihodi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, donacije)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72D7AB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PRORAČUNSKA SREDSTVA 2029.g.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6C8753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2029.g.(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vl.i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 xml:space="preserve"> </w:t>
            </w:r>
            <w:proofErr w:type="spellStart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namj.prihodi</w:t>
            </w:r>
            <w:proofErr w:type="spellEnd"/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, donacije)</w:t>
            </w:r>
          </w:p>
        </w:tc>
      </w:tr>
      <w:tr w:rsidR="002B4333" w:rsidRPr="002B4333" w14:paraId="14E81166" w14:textId="77777777" w:rsidTr="002B4333">
        <w:trPr>
          <w:trHeight w:val="555"/>
        </w:trPr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24144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2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E8B26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CF92F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06BBF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258F9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C3973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4C752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F66C3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615BD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CD7C4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477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</w:p>
        </w:tc>
      </w:tr>
      <w:tr w:rsidR="002B4333" w:rsidRPr="002B4333" w14:paraId="63D1A3B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02AE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9D5C1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A02B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C5EEE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B135E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2FC3A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23194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8EB62D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EFCB5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7BCA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ECADB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15EE4F8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299F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8930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SKUPŠTINA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0E7E7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3.228.428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6BA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FB9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3.228.428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082D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Cs w:val="22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A04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3.228.428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CBD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C8BB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3.228.428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89D16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FF11E9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4288D6D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82E951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D9F9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STRUČNE SL. VLADE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F610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3.145.965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A443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73FB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2.678.713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3BAC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21F3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2.782.399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46B8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DFF1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2.891.269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1236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59A6EEE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5017AC8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6898E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11020001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7E946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URED PREDSJEDNIKA VLADE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CF05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881.516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DA94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498.600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4CB6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1.287.100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0D40B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8425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1.377.100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69EC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5626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1.460.000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DC34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29E9F8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3D735EC2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FFA2A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11030001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CD6E0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SLUŽBA ZA ODNOSE S JAVNOŠĆU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C435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283.319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1278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5DFE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282.000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B589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2711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306.000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A8B0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554E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325.000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7F4D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87E546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D66157F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7186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12010001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3F549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MUP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E3C9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29.503.858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83F9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CFEB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33.807.037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4916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B6EA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35.761.365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163F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516B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38.214.518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5E48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DC7AF7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7292EA2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372B8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13010001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4BE8E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MINISTARSTVO FINANCIJA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F32E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3.434.671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01E7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E43C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3.658.806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BF7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77B0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3.776.797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7CDC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F20E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3.876.152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DA87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F359F33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274E525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EE527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D9DD04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MINISTARSTVO PRAVOSUĐA I UPR.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09FB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826.424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D2C3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260.000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52A6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1.041.703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923C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FAD5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1.119.506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9C73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D208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1.176.033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D61C9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01360C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B85288F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987AC6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4ED13AE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NIŽE POTR. JEDINICE - SUDOVI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618B92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8.660.748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D83D6D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322.141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5D5255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9.910.004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D060F0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194.855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6C7CA2D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10.517.255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47FFDA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214.341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D31D62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12.011.457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BF0F5F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235.775</w:t>
            </w:r>
          </w:p>
        </w:tc>
        <w:tc>
          <w:tcPr>
            <w:tcW w:w="36" w:type="dxa"/>
            <w:vAlign w:val="center"/>
            <w:hideMark/>
          </w:tcPr>
          <w:p w14:paraId="26184112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0A2A606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71A156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14020001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71A3D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OPĆINSKI SUD LIVNO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6604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4.971.271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7DCD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242.141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F9FD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5.665.135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3A10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194.855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5135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6.057.895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74827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214.341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BE0B7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7.000.869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CA8DD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235.775</w:t>
            </w:r>
          </w:p>
        </w:tc>
        <w:tc>
          <w:tcPr>
            <w:tcW w:w="36" w:type="dxa"/>
            <w:vAlign w:val="center"/>
            <w:hideMark/>
          </w:tcPr>
          <w:p w14:paraId="37B0B1D2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299A068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7FAC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14020002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BE8B9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OPĆINSKI SUD TOMISLAVGRAD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BF1E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8BE59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8DF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100.000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70AE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8F0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100.000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459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1B8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100.000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DEF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6B6F4E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EEF4DC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991B6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14030001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7A1B9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ŽUPANIJSKI SUD LIVNO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40F4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1.510.334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BAF5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1DF6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1.733.278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3C9C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1D2C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1.823.553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1030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ED7E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2.060.398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C712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8E01FE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5A6F17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7C9B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14030002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19BEA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ŽUPAN.JAVNO TUŽITELJSTVO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7293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1.647.752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4E83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D598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1.933.948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057D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613F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2.034.248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E7D9B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93C0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2.305.614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0582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6346FC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9C179D4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A1361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14030003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16766E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ŽUP.JAVNO PRAVOBRANITELJSTVO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A667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192.668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939C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BB0FC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219.798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9999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519B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230.821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7F9E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B529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260.302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C1EC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B5B3D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C3E95E4" w14:textId="77777777" w:rsidTr="002B4333">
        <w:trPr>
          <w:trHeight w:val="40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B865F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14030004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EA183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ŽUPANIJSKI ZAVOD ZA PRUŽANJE PRAVNE POMOĆI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6DE8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238.723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2D26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6DB31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257.845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B9F9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64CD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270.738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E4D3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4F58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284.274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CC90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093B8E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4644E34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94DD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15010001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B9D8C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MINISTARSTVO GOSPODARSTVA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7F46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2.748.477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C7E68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31A5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3.352.947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7357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B856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3.385.390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9927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4B51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3.550.956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4601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C8639CE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237A732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90DD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lastRenderedPageBreak/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4A8A1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NIŽE POTR. JEDINICE - PROJEKTI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5F2E4" w14:textId="77777777" w:rsidR="002B4333" w:rsidRPr="002B4333" w:rsidRDefault="002B4333" w:rsidP="002B4333">
            <w:pPr>
              <w:jc w:val="right"/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94.470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3FCD4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F72F5A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05D78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EB344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DFF61F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1C280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F9988" w14:textId="77777777" w:rsidR="002B4333" w:rsidRPr="002B4333" w:rsidRDefault="002B4333" w:rsidP="002B4333">
            <w:pPr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71BD5E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3396259C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A054E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591BC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MIN.ZNANOSTI,PROS. KUL. I ŠPORTA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4AA2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5.201.012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D026E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1.154.882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1677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7.015.818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B7AF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C8AEF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7.466.023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EE23A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D9E42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7.643.095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119D9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CD71D92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0994781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22D94A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1602; 1603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9ACD9B5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NIŽE POTR. JEDINICE - ŠKOLE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728C51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45.710.176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21D5F5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2.615.651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BDE721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47.919.984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1FCC3AD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2.990.800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8F9490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50.123.921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0E72867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2.991.500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5A9DCB5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51.953.559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728F8ED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2.991.500</w:t>
            </w:r>
          </w:p>
        </w:tc>
        <w:tc>
          <w:tcPr>
            <w:tcW w:w="36" w:type="dxa"/>
            <w:vAlign w:val="center"/>
            <w:hideMark/>
          </w:tcPr>
          <w:p w14:paraId="0867C911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4AC227A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8C76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E776D7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IVAN GORAN KOVAČIĆ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6F29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5.402.369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4840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160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5.760.611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F26C" w14:textId="77777777" w:rsidR="002B4333" w:rsidRPr="002B4333" w:rsidRDefault="002B4333" w:rsidP="002B4333">
            <w:pPr>
              <w:jc w:val="center"/>
              <w:rPr>
                <w:rFonts w:ascii="Calibri" w:hAnsi="Calibri" w:cs="Calibri"/>
                <w:color w:val="000000"/>
                <w:szCs w:val="22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032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6.048.642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F5C4" w14:textId="77777777" w:rsidR="002B4333" w:rsidRPr="002B4333" w:rsidRDefault="002B4333" w:rsidP="002B4333">
            <w:pPr>
              <w:jc w:val="center"/>
              <w:rPr>
                <w:rFonts w:ascii="Calibri" w:hAnsi="Calibri" w:cs="Calibri"/>
                <w:color w:val="000000"/>
                <w:szCs w:val="22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5C4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6.351.073,00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2E92" w14:textId="77777777" w:rsidR="002B4333" w:rsidRPr="002B4333" w:rsidRDefault="002B4333" w:rsidP="002B4333">
            <w:pPr>
              <w:jc w:val="center"/>
              <w:rPr>
                <w:rFonts w:ascii="Calibri" w:hAnsi="Calibri" w:cs="Calibri"/>
                <w:color w:val="000000"/>
                <w:szCs w:val="22"/>
                <w:lang w:eastAsia="hr-HR"/>
              </w:rPr>
            </w:pPr>
            <w:r w:rsidRPr="002B4333">
              <w:rPr>
                <w:rFonts w:ascii="Calibri" w:hAnsi="Calibri" w:cs="Calibri"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71468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6054A0F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3964F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A356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LOVRO KARAULA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0A9E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6.307.876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3072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6C6F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6.938.664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B394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26E3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7.285.598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BA1E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E036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7.649.787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5C8D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67611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FBB7C9C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707F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8ED3C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GLAZBENA FRANJO VILHAR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20F9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670.598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C997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8A8B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724.246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CAA8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6CC2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767.701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3604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E0F7F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806.086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5310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865D71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828552A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A84E3A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DF3F0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IVANA MAŽURANIĆA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43B7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6.134.140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A390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B3BA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6.440.850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C5BA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4AAF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6.762.893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EF63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91A1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7.101.036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9AF7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4DC917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CDBF02D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815F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02356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 xml:space="preserve"> OŠ STJEPAN RADIĆ PRISOJE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87C7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2.041.373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C0CD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4861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2.132.939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9FEB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DC02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2.239.589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21DF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47F9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2.351.569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FD58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9F06F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A87EAF8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9DE2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BE538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FRA MIJO ČUIĆ BUKOVICA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55C9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2.568.154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E4FD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8F6E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2.696.562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46D4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2396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2.831.390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2009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E3DC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2.972.959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5FFA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0D47C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27406573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E1D16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BEAB8A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FRA MIJO GLAVINIĆ GLAMOČ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778B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1.680.500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FDFE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E44D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1.757.852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3B95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ABC5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1.845.745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7246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5C470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1.938.032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CC53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C665E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8EBC605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80C36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16020009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4D2A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MIROSLAVA DŽAJE KUPRES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15BB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1.567.077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7F3D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244B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1.694.779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2F08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15E6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1.781.896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F719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524A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1.873.700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B744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89AE2C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7BCE8BC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8875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16020010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D8A3A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"NIKOLA TESLA" DRVAR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C703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1.832.058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9E11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C570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1.923.662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3085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50F2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2.019.843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2777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E3AE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2.120.836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671AA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276EF09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0993631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9648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2DFD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OŠ BOSANSKO GRAHOVO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32A6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755.973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E9AB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E15A0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6D32D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200DB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BBBB76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399B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D31B6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68F55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AC54513" w14:textId="77777777" w:rsidTr="002B4333">
        <w:trPr>
          <w:trHeight w:val="270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0CDFD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16020012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B5B19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CENTAR NOVA NADA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28F0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1.103.462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6855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64D7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1.158.635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6DFE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80BD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1.216.566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BF58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7FB0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1.277.397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5854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C77AF8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857807C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7C09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46721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GIMNAZIJA LIVNO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523A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1.655.103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555C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210.000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9395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2.005.998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8B9D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1.012.000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DFF5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2.115.739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87F3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1.012.500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57B6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2.226.668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C2C7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1.012.500</w:t>
            </w:r>
          </w:p>
        </w:tc>
        <w:tc>
          <w:tcPr>
            <w:tcW w:w="36" w:type="dxa"/>
            <w:vAlign w:val="center"/>
            <w:hideMark/>
          </w:tcPr>
          <w:p w14:paraId="79735381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3CF99A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9025E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CAA84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EKONOMSKA ŠKOLA LIVNO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63FA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1.469.356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5B2C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37.920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766F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1.625.559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5C4D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CF49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1.691.217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F730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CEC9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1.750.338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E6D1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35.000</w:t>
            </w:r>
          </w:p>
        </w:tc>
        <w:tc>
          <w:tcPr>
            <w:tcW w:w="36" w:type="dxa"/>
            <w:vAlign w:val="center"/>
            <w:hideMark/>
          </w:tcPr>
          <w:p w14:paraId="09DD248B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5D4B91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6552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3D05C4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S.S.Š SILVIJE STRAHIMIR KRANJČEVIĆ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3192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3.834.284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9BF9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1.798.374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8FC5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4.205.320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6988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1.882.000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6994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4.425.753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447D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1.882.000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5ACF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4.088.329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89AA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1.882.000</w:t>
            </w:r>
          </w:p>
        </w:tc>
        <w:tc>
          <w:tcPr>
            <w:tcW w:w="36" w:type="dxa"/>
            <w:vAlign w:val="center"/>
            <w:hideMark/>
          </w:tcPr>
          <w:p w14:paraId="0851D13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0F369C1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DC6CE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094B1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GIMNAZIJA MARKA MARULIĆA TG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52B8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2.156.880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4DDF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6.500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03745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2.227.885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2146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495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2.194.432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8CBA1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B1F0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2.183.583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336C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5.000</w:t>
            </w:r>
          </w:p>
        </w:tc>
        <w:tc>
          <w:tcPr>
            <w:tcW w:w="36" w:type="dxa"/>
            <w:vAlign w:val="center"/>
            <w:hideMark/>
          </w:tcPr>
          <w:p w14:paraId="67083558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31B4AC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CE37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EF13F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SREDNJA STRUKOVNA TG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9CD6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2.146.491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E91E1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333.700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342B0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2.103.350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62864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4.200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C52A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2.122.518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01331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4.200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12A41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2.226.143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E0E5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4.200</w:t>
            </w:r>
          </w:p>
        </w:tc>
        <w:tc>
          <w:tcPr>
            <w:tcW w:w="36" w:type="dxa"/>
            <w:vAlign w:val="center"/>
            <w:hideMark/>
          </w:tcPr>
          <w:p w14:paraId="0BE9602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B624546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0A97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2B0D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SREDNJA ŠKOLA KUPRES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639A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1.136.718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EEC4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53.400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B182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1.242.180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9E75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52.600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C81F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1.310.398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1E12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52.800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67C1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1.380.437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354A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52.800</w:t>
            </w:r>
          </w:p>
        </w:tc>
        <w:tc>
          <w:tcPr>
            <w:tcW w:w="36" w:type="dxa"/>
            <w:vAlign w:val="center"/>
            <w:hideMark/>
          </w:tcPr>
          <w:p w14:paraId="60042DE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D33427E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84B0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33E32C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SREDNJA ŠKOLA TIN UJEVIĆ GLAMOČ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F0AB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1.111.617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9FDF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FF81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1.242.748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C852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C44F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1.327.947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F7D7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C489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1.402.986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9C25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8061C2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3331B0DB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AAEB8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5DA59A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SREDNJA ŠKOLA DRVAR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7003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1.353.357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F9D0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150.757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758E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1.515.501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B57F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A465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1.590.313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A615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5DEC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1.677.343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FBE9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AFD2AA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6FF207A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A870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16030009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FA8CE7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SREDNJA GLAZBENA ŠKOLA TG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C5BB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782.790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56BD8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1428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522.643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EDA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73A54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545.741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8D34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D80F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575.257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7A46F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018902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CDE11E2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CDADA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17010001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4ABCB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MINISTARSTVO GRADITELJSTVA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F795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597.529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EDC5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7D85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709.162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42AB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6D05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750.354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4A0F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1FA5C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788.974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6B34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350.000</w:t>
            </w:r>
          </w:p>
        </w:tc>
        <w:tc>
          <w:tcPr>
            <w:tcW w:w="36" w:type="dxa"/>
            <w:vAlign w:val="center"/>
            <w:hideMark/>
          </w:tcPr>
          <w:p w14:paraId="2EB8A6A7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3A6BF11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0F44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18010001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908B7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MINISTARSTVO PVŠ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006C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1.930.860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015B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3.850.000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F0EF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3.270.981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2EC82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0EAD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3.416.708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D106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ABC9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3.614.593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10A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1.350.000</w:t>
            </w:r>
          </w:p>
        </w:tc>
        <w:tc>
          <w:tcPr>
            <w:tcW w:w="36" w:type="dxa"/>
            <w:vAlign w:val="center"/>
            <w:hideMark/>
          </w:tcPr>
          <w:p w14:paraId="519170F1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299C83A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FCD02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18010002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983D8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ŠUMARSTVO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3A0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2.328.143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60BF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185.000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4F30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BD1D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D385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6126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DD6B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3C84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47CD3F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5DBD99B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A3007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18010003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65D5A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ZAVOD ZA HRANU I VETERINARSTVO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8416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886.308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1E1F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76B0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1.035.624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17D0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105.000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54F3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1.087.405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C4E7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110.250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A02A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1.141.775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4334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115.763</w:t>
            </w:r>
          </w:p>
        </w:tc>
        <w:tc>
          <w:tcPr>
            <w:tcW w:w="36" w:type="dxa"/>
            <w:vAlign w:val="center"/>
            <w:hideMark/>
          </w:tcPr>
          <w:p w14:paraId="240F311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B625FD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818B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lastRenderedPageBreak/>
              <w:t>19010001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97682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MIN. RADA,ZDRAVSTVA,SKRBI I PR.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4120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15.297.575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43DE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2.665.273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6C87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19.670.000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464F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380.000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72A11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21.027.900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9BF4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460.000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BFD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22.230.000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A713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460.000</w:t>
            </w:r>
          </w:p>
        </w:tc>
        <w:tc>
          <w:tcPr>
            <w:tcW w:w="36" w:type="dxa"/>
            <w:vAlign w:val="center"/>
            <w:hideMark/>
          </w:tcPr>
          <w:p w14:paraId="25A739D5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B801D5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3B58A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20010001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84155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PITANJE BRANITELJA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F175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3.012.548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E7C8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20.000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BC3BC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3.539.283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4E415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70.000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DB71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3.756.283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D4E8D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70.000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41AA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3.945.323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B031A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70.000</w:t>
            </w:r>
          </w:p>
        </w:tc>
        <w:tc>
          <w:tcPr>
            <w:tcW w:w="36" w:type="dxa"/>
            <w:vAlign w:val="center"/>
            <w:hideMark/>
          </w:tcPr>
          <w:p w14:paraId="366D55C4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4C6B9936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263F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21010001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251B4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GEODETSKE POSL.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51EB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842.181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E902E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A51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842.181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987B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9D2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842.181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74F2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665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842.181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1BC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94B64E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DB61279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18089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22010001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CF265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DIREKCIJA ROBNIH REZERVI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BD26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231.412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283D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9B11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306.108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AB5B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140.000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9ED7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321.162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7F31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160.000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521F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296.211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565B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203.000</w:t>
            </w:r>
          </w:p>
        </w:tc>
        <w:tc>
          <w:tcPr>
            <w:tcW w:w="36" w:type="dxa"/>
            <w:vAlign w:val="center"/>
            <w:hideMark/>
          </w:tcPr>
          <w:p w14:paraId="731BD48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7BF2C73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EF592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B81DD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URED ZA ZAKONODAVSTVO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1AF3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230.876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7FB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0365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230.876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F0DEA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97D4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230.876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744B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C3DE0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230.876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85E6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BB2675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99459F0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8F85E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24010001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CF7A8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CIVILNU ZAŠTITU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5A2C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882.660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26F5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1.384.066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6BF6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1.026.415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A18A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1.444.821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1968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1.091.995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80E7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1.392.066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07E4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1.154.970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9D58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1.452.066</w:t>
            </w:r>
          </w:p>
        </w:tc>
        <w:tc>
          <w:tcPr>
            <w:tcW w:w="36" w:type="dxa"/>
            <w:vAlign w:val="center"/>
            <w:hideMark/>
          </w:tcPr>
          <w:p w14:paraId="76F113DF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0C63C732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B0368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25010001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EA7F7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INSPEKCIJSKE POSLOVE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E79E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1.855.014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6B40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110.000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67EE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1.998.000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08EB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3FA79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2.000.200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C628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BE06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2.000.200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BCA3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98BBA6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2D865F1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D6E40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26010001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B8A15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UPRAVA ZA CESTE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D12C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591.068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6639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7.808.051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8598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685.900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F3B35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5.500.000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F0558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717.000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CD76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5.000.000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1AEB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758.000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78F5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5.200.000</w:t>
            </w:r>
          </w:p>
        </w:tc>
        <w:tc>
          <w:tcPr>
            <w:tcW w:w="36" w:type="dxa"/>
            <w:vAlign w:val="center"/>
            <w:hideMark/>
          </w:tcPr>
          <w:p w14:paraId="76622084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7CA262EE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AC801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27010001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78F41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URED ZA BORBU PROTIV KORUPCIJE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F6FA1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232.934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A441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3D11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453.036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9674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BD57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601.357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881A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1EA0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630.575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6D22D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DF0A7D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E437A87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A38AC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D1433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PLANIRANO POKRIĆE DEFICITA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CA9C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A8C3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2E28B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9B4EE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EDE6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734B6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E30C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19269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4AC3B9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1A850370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0839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4AC3E" w14:textId="77777777" w:rsidR="002B4333" w:rsidRPr="002B4333" w:rsidRDefault="002B4333" w:rsidP="002B4333">
            <w:pPr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09A7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C1CBA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AF718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34567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A2F8C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EF15D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E5F0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FFB50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D90441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2E84737C" w14:textId="77777777" w:rsidTr="002B4333">
        <w:trPr>
          <w:trHeight w:val="31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7BE1A0A6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19DCECA7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4B6F8F52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132.638.172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11DA0FA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22.721.364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75979C2F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147.950.106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544FB67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12.525.476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111751E4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155.687.605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46AD51D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12.098.157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0228D5C3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163.964.145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739D3F9A" w14:textId="77777777" w:rsidR="002B4333" w:rsidRPr="002B4333" w:rsidRDefault="002B4333" w:rsidP="002B4333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12.428.104</w:t>
            </w:r>
          </w:p>
        </w:tc>
        <w:tc>
          <w:tcPr>
            <w:tcW w:w="36" w:type="dxa"/>
            <w:vAlign w:val="center"/>
            <w:hideMark/>
          </w:tcPr>
          <w:p w14:paraId="729DE5C4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  <w:tr w:rsidR="002B4333" w:rsidRPr="002B4333" w14:paraId="52ACEEAE" w14:textId="77777777" w:rsidTr="002B4333">
        <w:trPr>
          <w:trHeight w:val="735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2A4F2973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color w:val="000000"/>
                <w:sz w:val="13"/>
                <w:szCs w:val="13"/>
                <w:lang w:eastAsia="hr-H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39F5EC9B" w14:textId="77777777" w:rsidR="002B4333" w:rsidRPr="002B4333" w:rsidRDefault="002B4333" w:rsidP="002B4333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UKUPNO (proračunska sredstva + vlast.  i namjenski prihodi, donacije)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2A82C941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155.359.536</w:t>
            </w: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66F9F5F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160.475.582</w:t>
            </w: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341FAC5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167.785.762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53E29C4" w14:textId="77777777" w:rsidR="002B4333" w:rsidRPr="002B4333" w:rsidRDefault="002B4333" w:rsidP="002B4333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</w:pPr>
            <w:r w:rsidRPr="002B4333">
              <w:rPr>
                <w:rFonts w:ascii="Arial" w:hAnsi="Arial" w:cs="Arial"/>
                <w:b/>
                <w:bCs/>
                <w:color w:val="000000"/>
                <w:sz w:val="13"/>
                <w:szCs w:val="13"/>
                <w:lang w:eastAsia="hr-HR"/>
              </w:rPr>
              <w:t>176.392.249</w:t>
            </w:r>
          </w:p>
        </w:tc>
        <w:tc>
          <w:tcPr>
            <w:tcW w:w="36" w:type="dxa"/>
            <w:vAlign w:val="center"/>
            <w:hideMark/>
          </w:tcPr>
          <w:p w14:paraId="3CD501A5" w14:textId="77777777" w:rsidR="002B4333" w:rsidRPr="002B4333" w:rsidRDefault="002B4333" w:rsidP="002B4333">
            <w:pPr>
              <w:rPr>
                <w:sz w:val="20"/>
                <w:lang w:eastAsia="hr-HR"/>
              </w:rPr>
            </w:pPr>
          </w:p>
        </w:tc>
      </w:tr>
    </w:tbl>
    <w:p w14:paraId="664114CF" w14:textId="77777777" w:rsidR="002B4333" w:rsidRPr="009F7CF8" w:rsidRDefault="002B4333" w:rsidP="00754CCC">
      <w:pPr>
        <w:jc w:val="both"/>
        <w:rPr>
          <w:rFonts w:ascii="Arial" w:hAnsi="Arial" w:cs="Arial"/>
          <w:sz w:val="28"/>
        </w:rPr>
      </w:pPr>
    </w:p>
    <w:p w14:paraId="5F25F553" w14:textId="5E4954F1" w:rsidR="00754CCC" w:rsidRDefault="00754CCC" w:rsidP="00754CCC">
      <w:pPr>
        <w:jc w:val="right"/>
        <w:rPr>
          <w:rFonts w:ascii="Arial" w:hAnsi="Arial" w:cs="Arial"/>
          <w:b/>
          <w:sz w:val="20"/>
        </w:rPr>
      </w:pPr>
    </w:p>
    <w:p w14:paraId="4E4153E8" w14:textId="77777777" w:rsidR="00754CCC" w:rsidRDefault="00754CCC" w:rsidP="00754CCC">
      <w:pPr>
        <w:jc w:val="right"/>
        <w:rPr>
          <w:rFonts w:ascii="Arial" w:hAnsi="Arial" w:cs="Arial"/>
          <w:b/>
          <w:sz w:val="20"/>
        </w:rPr>
      </w:pPr>
    </w:p>
    <w:p w14:paraId="18BC6073" w14:textId="77777777" w:rsidR="00754CCC" w:rsidRPr="009F7CF8" w:rsidRDefault="00754CCC" w:rsidP="00754CC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textWrapping" w:clear="all"/>
      </w:r>
    </w:p>
    <w:p w14:paraId="0DCCDF37" w14:textId="77777777" w:rsidR="00754CCC" w:rsidRDefault="00754CCC" w:rsidP="00754CCC">
      <w:pPr>
        <w:rPr>
          <w:rFonts w:ascii="Arial" w:hAnsi="Arial" w:cs="Arial"/>
          <w:sz w:val="28"/>
        </w:rPr>
      </w:pPr>
    </w:p>
    <w:p w14:paraId="079C06BE" w14:textId="7A030A17" w:rsidR="00754CCC" w:rsidRPr="00754CCC" w:rsidRDefault="00754CCC" w:rsidP="00A806BB">
      <w:pPr>
        <w:jc w:val="both"/>
      </w:pPr>
      <w:r w:rsidRPr="0070095E">
        <w:rPr>
          <w:b/>
          <w:i/>
          <w:sz w:val="24"/>
          <w:szCs w:val="24"/>
        </w:rPr>
        <w:t>Napomena:</w:t>
      </w:r>
      <w:r w:rsidRPr="0070095E">
        <w:rPr>
          <w:i/>
          <w:sz w:val="24"/>
          <w:szCs w:val="24"/>
        </w:rPr>
        <w:t xml:space="preserve"> Korisnici koji nisu dostavili zahtjev za izradu Dokumenta okvirnog proračun</w:t>
      </w:r>
      <w:r w:rsidR="00BF07B9">
        <w:rPr>
          <w:i/>
          <w:sz w:val="24"/>
          <w:szCs w:val="24"/>
        </w:rPr>
        <w:t>a za razdoblje 202</w:t>
      </w:r>
      <w:r w:rsidR="00CA787E">
        <w:rPr>
          <w:i/>
          <w:sz w:val="24"/>
          <w:szCs w:val="24"/>
        </w:rPr>
        <w:t>7</w:t>
      </w:r>
      <w:r w:rsidR="00BF07B9">
        <w:rPr>
          <w:i/>
          <w:sz w:val="24"/>
          <w:szCs w:val="24"/>
        </w:rPr>
        <w:t>.-202</w:t>
      </w:r>
      <w:r w:rsidR="00CA787E">
        <w:rPr>
          <w:i/>
          <w:sz w:val="24"/>
          <w:szCs w:val="24"/>
        </w:rPr>
        <w:t>9</w:t>
      </w:r>
      <w:r w:rsidR="00DD14BB">
        <w:rPr>
          <w:i/>
          <w:sz w:val="24"/>
          <w:szCs w:val="24"/>
        </w:rPr>
        <w:t>. godine</w:t>
      </w:r>
      <w:r w:rsidRPr="0070095E">
        <w:rPr>
          <w:i/>
          <w:sz w:val="24"/>
          <w:szCs w:val="24"/>
        </w:rPr>
        <w:t>, Ministarstvo financija je, sukladno Zakonu o proračunima u FBiH, gornju granicu rashoda  utvrdilo temeljem</w:t>
      </w:r>
      <w:r w:rsidR="00CC4C08">
        <w:rPr>
          <w:i/>
          <w:sz w:val="24"/>
          <w:szCs w:val="24"/>
        </w:rPr>
        <w:t xml:space="preserve"> odobrenog Proračuna HBŽ iz 202</w:t>
      </w:r>
      <w:r w:rsidR="00CA787E">
        <w:rPr>
          <w:i/>
          <w:sz w:val="24"/>
          <w:szCs w:val="24"/>
        </w:rPr>
        <w:t>6</w:t>
      </w:r>
      <w:r w:rsidRPr="0070095E">
        <w:rPr>
          <w:i/>
          <w:sz w:val="24"/>
          <w:szCs w:val="24"/>
        </w:rPr>
        <w:t xml:space="preserve">. </w:t>
      </w:r>
      <w:r w:rsidR="00A806BB">
        <w:rPr>
          <w:i/>
          <w:sz w:val="24"/>
          <w:szCs w:val="24"/>
        </w:rPr>
        <w:t>g</w:t>
      </w:r>
      <w:r w:rsidRPr="0070095E">
        <w:rPr>
          <w:i/>
          <w:sz w:val="24"/>
          <w:szCs w:val="24"/>
        </w:rPr>
        <w:t>odine</w:t>
      </w:r>
      <w:r w:rsidR="00A806BB">
        <w:rPr>
          <w:i/>
          <w:sz w:val="24"/>
          <w:szCs w:val="24"/>
        </w:rPr>
        <w:t>.</w:t>
      </w:r>
    </w:p>
    <w:sectPr w:rsidR="00754CCC" w:rsidRPr="00754CCC" w:rsidSect="002B43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BD74" w14:textId="77777777" w:rsidR="006639EB" w:rsidRDefault="006639EB" w:rsidP="00CF152E">
      <w:r>
        <w:separator/>
      </w:r>
    </w:p>
  </w:endnote>
  <w:endnote w:type="continuationSeparator" w:id="0">
    <w:p w14:paraId="3180399A" w14:textId="77777777" w:rsidR="006639EB" w:rsidRDefault="006639EB" w:rsidP="00CF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33678"/>
      <w:docPartObj>
        <w:docPartGallery w:val="Page Numbers (Bottom of Page)"/>
        <w:docPartUnique/>
      </w:docPartObj>
    </w:sdtPr>
    <w:sdtEndPr/>
    <w:sdtContent>
      <w:p w14:paraId="60E3CE8B" w14:textId="179ADA73" w:rsidR="00D82381" w:rsidRDefault="008B5311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5FB0749" wp14:editId="717B05CF">
                  <wp:extent cx="5933440" cy="54610"/>
                  <wp:effectExtent l="9525" t="19050" r="10160" b="12065"/>
                  <wp:docPr id="153192733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41035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736E05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" fillcolor="black [3213]" strokecolor="black [3213]">
                  <w10:anchorlock/>
                </v:shape>
              </w:pict>
            </mc:Fallback>
          </mc:AlternateContent>
        </w:r>
      </w:p>
      <w:p w14:paraId="1E778A2F" w14:textId="77777777" w:rsidR="00D82381" w:rsidRDefault="005A5819" w:rsidP="00290830">
        <w:pPr>
          <w:pStyle w:val="Podnoje"/>
        </w:pPr>
      </w:p>
    </w:sdtContent>
  </w:sdt>
  <w:p w14:paraId="6AFCDED3" w14:textId="77777777" w:rsidR="00D82381" w:rsidRDefault="00D823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33679"/>
      <w:docPartObj>
        <w:docPartGallery w:val="Page Numbers (Bottom of Page)"/>
        <w:docPartUnique/>
      </w:docPartObj>
    </w:sdtPr>
    <w:sdtEndPr/>
    <w:sdtContent>
      <w:p w14:paraId="6A08712B" w14:textId="77777777" w:rsidR="00D82381" w:rsidRDefault="00D8238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A7190" w14:textId="77777777" w:rsidR="00D82381" w:rsidRDefault="00D8238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932" w14:textId="4580EC94" w:rsidR="00D82381" w:rsidRDefault="008B5311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 wp14:anchorId="7746DB63" wp14:editId="75DD4A86">
              <wp:extent cx="5933440" cy="54610"/>
              <wp:effectExtent l="9525" t="19050" r="10160" b="12065"/>
              <wp:docPr id="54599483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1035" cy="54610"/>
                      </a:xfrm>
                      <a:prstGeom prst="flowChartDecision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638F1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" fillcolor="black [3213]" strokecolor="black [3213]">
              <w10:anchorlock/>
            </v:shape>
          </w:pict>
        </mc:Fallback>
      </mc:AlternateContent>
    </w:r>
  </w:p>
  <w:p w14:paraId="506D1644" w14:textId="77777777" w:rsidR="00D82381" w:rsidRDefault="00277F4D">
    <w:pPr>
      <w:pStyle w:val="Podnoj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3FC03E7" w14:textId="77777777" w:rsidR="00D82381" w:rsidRDefault="00D8238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EC2D" w14:textId="77777777" w:rsidR="00D82381" w:rsidRDefault="00D8238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2F22762" w14:textId="77777777" w:rsidR="00D82381" w:rsidRDefault="00D82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87DE" w14:textId="77777777" w:rsidR="006639EB" w:rsidRDefault="006639EB" w:rsidP="00CF152E">
      <w:r>
        <w:separator/>
      </w:r>
    </w:p>
  </w:footnote>
  <w:footnote w:type="continuationSeparator" w:id="0">
    <w:p w14:paraId="238552E0" w14:textId="77777777" w:rsidR="006639EB" w:rsidRDefault="006639EB" w:rsidP="00CF152E">
      <w:r>
        <w:continuationSeparator/>
      </w:r>
    </w:p>
  </w:footnote>
  <w:footnote w:id="1">
    <w:p w14:paraId="712DF566" w14:textId="183B15E7" w:rsidR="00D82381" w:rsidRDefault="00D82381" w:rsidP="00E91112">
      <w:pPr>
        <w:pStyle w:val="Tekstfusnote"/>
      </w:pPr>
      <w:r>
        <w:rPr>
          <w:rStyle w:val="Referencafusnote"/>
          <w:rFonts w:eastAsiaTheme="majorEastAsia"/>
        </w:rPr>
        <w:footnoteRef/>
      </w:r>
      <w:r>
        <w:t xml:space="preserve"> Projekcija DEP-a BiH, 202</w:t>
      </w:r>
      <w:r w:rsidR="008916F3">
        <w:t>4</w:t>
      </w:r>
      <w:r>
        <w:t>. godine</w:t>
      </w:r>
    </w:p>
  </w:footnote>
  <w:footnote w:id="2">
    <w:p w14:paraId="0B2C4B76" w14:textId="541ECBB7" w:rsidR="00D82381" w:rsidRDefault="00D82381">
      <w:pPr>
        <w:pStyle w:val="Tekstfusnote"/>
      </w:pPr>
      <w:r>
        <w:rPr>
          <w:rStyle w:val="Referencafusnote"/>
        </w:rPr>
        <w:footnoteRef/>
      </w:r>
      <w:r>
        <w:t xml:space="preserve"> DEP, Ekonomski trendovi prvi </w:t>
      </w:r>
      <w:r w:rsidR="00334422">
        <w:t>kvartal</w:t>
      </w:r>
      <w:r>
        <w:t xml:space="preserve">, </w:t>
      </w:r>
      <w:r w:rsidR="00334422">
        <w:t>2025</w:t>
      </w:r>
      <w:r>
        <w:t>. godine</w:t>
      </w:r>
    </w:p>
  </w:footnote>
  <w:footnote w:id="3">
    <w:p w14:paraId="61098966" w14:textId="35EC565B" w:rsidR="00AD0B87" w:rsidRDefault="00AD0B87">
      <w:pPr>
        <w:pStyle w:val="Tekstfusnote"/>
      </w:pPr>
      <w:r>
        <w:rPr>
          <w:rStyle w:val="Referencafusnote"/>
        </w:rPr>
        <w:footnoteRef/>
      </w:r>
      <w:r>
        <w:t xml:space="preserve"> Smjernice ekonomske i fiskalne politike FBiH 202</w:t>
      </w:r>
      <w:r w:rsidR="00EC13F1">
        <w:t>7</w:t>
      </w:r>
      <w:r>
        <w:t>.-202</w:t>
      </w:r>
      <w:r w:rsidR="00EC13F1">
        <w:t>9</w:t>
      </w:r>
      <w:r>
        <w:t>.</w:t>
      </w:r>
    </w:p>
  </w:footnote>
  <w:footnote w:id="4">
    <w:p w14:paraId="641512D0" w14:textId="4D5F1817" w:rsidR="00D82381" w:rsidRDefault="00D82381">
      <w:pPr>
        <w:pStyle w:val="Tekstfusnote"/>
      </w:pPr>
      <w:r>
        <w:rPr>
          <w:rStyle w:val="Referencafusnote"/>
        </w:rPr>
        <w:footnoteRef/>
      </w:r>
      <w:r>
        <w:t xml:space="preserve"> FZS; </w:t>
      </w:r>
      <w:r w:rsidR="00CD44D7">
        <w:t>Kvartalni ekonomski trendovi Federacije Bosne i Hercegovine 4Q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3BCA" w14:textId="77777777" w:rsidR="00D82381" w:rsidRDefault="00D823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E32"/>
    <w:multiLevelType w:val="hybridMultilevel"/>
    <w:tmpl w:val="9B129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A7EC1"/>
    <w:multiLevelType w:val="hybridMultilevel"/>
    <w:tmpl w:val="3EFCB95C"/>
    <w:lvl w:ilvl="0" w:tplc="F50EB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0117799">
    <w:abstractNumId w:val="1"/>
  </w:num>
  <w:num w:numId="2" w16cid:durableId="161732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2E"/>
    <w:rsid w:val="000005EE"/>
    <w:rsid w:val="00000DDA"/>
    <w:rsid w:val="000017AC"/>
    <w:rsid w:val="0000607D"/>
    <w:rsid w:val="00007929"/>
    <w:rsid w:val="00007D38"/>
    <w:rsid w:val="00012420"/>
    <w:rsid w:val="00015474"/>
    <w:rsid w:val="00017A97"/>
    <w:rsid w:val="000213D9"/>
    <w:rsid w:val="00022811"/>
    <w:rsid w:val="0002504D"/>
    <w:rsid w:val="000276A9"/>
    <w:rsid w:val="0003308B"/>
    <w:rsid w:val="00033D42"/>
    <w:rsid w:val="000343BA"/>
    <w:rsid w:val="00036405"/>
    <w:rsid w:val="0004239C"/>
    <w:rsid w:val="00044CA3"/>
    <w:rsid w:val="000463B3"/>
    <w:rsid w:val="00051B55"/>
    <w:rsid w:val="000559A7"/>
    <w:rsid w:val="00060B5B"/>
    <w:rsid w:val="00061AED"/>
    <w:rsid w:val="00065077"/>
    <w:rsid w:val="000707C7"/>
    <w:rsid w:val="00073005"/>
    <w:rsid w:val="00074C21"/>
    <w:rsid w:val="00075B61"/>
    <w:rsid w:val="00081056"/>
    <w:rsid w:val="000832E3"/>
    <w:rsid w:val="000873FD"/>
    <w:rsid w:val="00097443"/>
    <w:rsid w:val="000A35E1"/>
    <w:rsid w:val="000A5363"/>
    <w:rsid w:val="000A5845"/>
    <w:rsid w:val="000A701E"/>
    <w:rsid w:val="000B0AC1"/>
    <w:rsid w:val="000B0BCC"/>
    <w:rsid w:val="000B2FAC"/>
    <w:rsid w:val="000C1040"/>
    <w:rsid w:val="000C289B"/>
    <w:rsid w:val="000C4017"/>
    <w:rsid w:val="000C454E"/>
    <w:rsid w:val="000D2CF7"/>
    <w:rsid w:val="000D3172"/>
    <w:rsid w:val="000D3563"/>
    <w:rsid w:val="000D3649"/>
    <w:rsid w:val="000E2B64"/>
    <w:rsid w:val="000E2E90"/>
    <w:rsid w:val="000E31E0"/>
    <w:rsid w:val="000F3F49"/>
    <w:rsid w:val="00100A2B"/>
    <w:rsid w:val="00103346"/>
    <w:rsid w:val="00107DAB"/>
    <w:rsid w:val="001124C1"/>
    <w:rsid w:val="00116D5C"/>
    <w:rsid w:val="00117492"/>
    <w:rsid w:val="0011797C"/>
    <w:rsid w:val="001231D0"/>
    <w:rsid w:val="001259FF"/>
    <w:rsid w:val="00125E19"/>
    <w:rsid w:val="00133AC2"/>
    <w:rsid w:val="00136F0A"/>
    <w:rsid w:val="00140849"/>
    <w:rsid w:val="00140D18"/>
    <w:rsid w:val="00141CFD"/>
    <w:rsid w:val="001429DC"/>
    <w:rsid w:val="00143BB5"/>
    <w:rsid w:val="00154A1B"/>
    <w:rsid w:val="00155F8D"/>
    <w:rsid w:val="0015744B"/>
    <w:rsid w:val="00166DE5"/>
    <w:rsid w:val="001671E2"/>
    <w:rsid w:val="00173891"/>
    <w:rsid w:val="0017441B"/>
    <w:rsid w:val="00176E4D"/>
    <w:rsid w:val="00177279"/>
    <w:rsid w:val="00181B31"/>
    <w:rsid w:val="00192067"/>
    <w:rsid w:val="001923D9"/>
    <w:rsid w:val="001927FA"/>
    <w:rsid w:val="001A1634"/>
    <w:rsid w:val="001A3831"/>
    <w:rsid w:val="001B0266"/>
    <w:rsid w:val="001B3788"/>
    <w:rsid w:val="001B58D1"/>
    <w:rsid w:val="001C13E2"/>
    <w:rsid w:val="001D2B50"/>
    <w:rsid w:val="001D6C94"/>
    <w:rsid w:val="001E1560"/>
    <w:rsid w:val="001E4646"/>
    <w:rsid w:val="001E5DE1"/>
    <w:rsid w:val="001E7D31"/>
    <w:rsid w:val="001F3D51"/>
    <w:rsid w:val="002037FA"/>
    <w:rsid w:val="002043A2"/>
    <w:rsid w:val="002107EB"/>
    <w:rsid w:val="002169EA"/>
    <w:rsid w:val="002212CA"/>
    <w:rsid w:val="00225D1F"/>
    <w:rsid w:val="00240877"/>
    <w:rsid w:val="00243C41"/>
    <w:rsid w:val="0027110F"/>
    <w:rsid w:val="002753E1"/>
    <w:rsid w:val="0027621E"/>
    <w:rsid w:val="00277F4D"/>
    <w:rsid w:val="00280098"/>
    <w:rsid w:val="0028398E"/>
    <w:rsid w:val="00283D18"/>
    <w:rsid w:val="00284101"/>
    <w:rsid w:val="00285456"/>
    <w:rsid w:val="00290100"/>
    <w:rsid w:val="00290830"/>
    <w:rsid w:val="00295190"/>
    <w:rsid w:val="00296A11"/>
    <w:rsid w:val="002A1F63"/>
    <w:rsid w:val="002A2200"/>
    <w:rsid w:val="002A59E5"/>
    <w:rsid w:val="002A5B43"/>
    <w:rsid w:val="002A707D"/>
    <w:rsid w:val="002B281F"/>
    <w:rsid w:val="002B4333"/>
    <w:rsid w:val="002B7412"/>
    <w:rsid w:val="002C1E8B"/>
    <w:rsid w:val="002C6CE5"/>
    <w:rsid w:val="002C7318"/>
    <w:rsid w:val="002D23C7"/>
    <w:rsid w:val="002D3B69"/>
    <w:rsid w:val="002D4AE1"/>
    <w:rsid w:val="002D4E14"/>
    <w:rsid w:val="002D6FE7"/>
    <w:rsid w:val="002E1337"/>
    <w:rsid w:val="002E46A2"/>
    <w:rsid w:val="002E5B44"/>
    <w:rsid w:val="002E5BB7"/>
    <w:rsid w:val="002E5C39"/>
    <w:rsid w:val="002F1D15"/>
    <w:rsid w:val="002F3834"/>
    <w:rsid w:val="002F43B9"/>
    <w:rsid w:val="002F509A"/>
    <w:rsid w:val="00310815"/>
    <w:rsid w:val="0031231F"/>
    <w:rsid w:val="00312F9D"/>
    <w:rsid w:val="00314128"/>
    <w:rsid w:val="0032206B"/>
    <w:rsid w:val="0032403A"/>
    <w:rsid w:val="003256C3"/>
    <w:rsid w:val="0032605F"/>
    <w:rsid w:val="003301FF"/>
    <w:rsid w:val="0033047A"/>
    <w:rsid w:val="003335C7"/>
    <w:rsid w:val="00334422"/>
    <w:rsid w:val="00336E32"/>
    <w:rsid w:val="003442C6"/>
    <w:rsid w:val="003449DD"/>
    <w:rsid w:val="00346D0D"/>
    <w:rsid w:val="00350272"/>
    <w:rsid w:val="00352CBD"/>
    <w:rsid w:val="00361056"/>
    <w:rsid w:val="00364D7F"/>
    <w:rsid w:val="003655DF"/>
    <w:rsid w:val="003667F1"/>
    <w:rsid w:val="00371379"/>
    <w:rsid w:val="00372E0F"/>
    <w:rsid w:val="003812F2"/>
    <w:rsid w:val="003821F5"/>
    <w:rsid w:val="0038494E"/>
    <w:rsid w:val="00386282"/>
    <w:rsid w:val="00387E77"/>
    <w:rsid w:val="00390EB9"/>
    <w:rsid w:val="003918C5"/>
    <w:rsid w:val="003A1ACF"/>
    <w:rsid w:val="003A3A78"/>
    <w:rsid w:val="003A4FC5"/>
    <w:rsid w:val="003B2FA3"/>
    <w:rsid w:val="003C4523"/>
    <w:rsid w:val="003D0D93"/>
    <w:rsid w:val="003D3F10"/>
    <w:rsid w:val="003D6C97"/>
    <w:rsid w:val="003D7C53"/>
    <w:rsid w:val="003E2DE3"/>
    <w:rsid w:val="003E2E0F"/>
    <w:rsid w:val="003E35E7"/>
    <w:rsid w:val="003E3BF4"/>
    <w:rsid w:val="003E4D83"/>
    <w:rsid w:val="003F582B"/>
    <w:rsid w:val="00401F29"/>
    <w:rsid w:val="004069F1"/>
    <w:rsid w:val="0040767F"/>
    <w:rsid w:val="00440419"/>
    <w:rsid w:val="00444FF7"/>
    <w:rsid w:val="00446FFF"/>
    <w:rsid w:val="0045436E"/>
    <w:rsid w:val="00454F15"/>
    <w:rsid w:val="00455334"/>
    <w:rsid w:val="00457BA0"/>
    <w:rsid w:val="004635A8"/>
    <w:rsid w:val="004701D2"/>
    <w:rsid w:val="00470585"/>
    <w:rsid w:val="00471333"/>
    <w:rsid w:val="00472F00"/>
    <w:rsid w:val="004763FC"/>
    <w:rsid w:val="00476A4A"/>
    <w:rsid w:val="0048552E"/>
    <w:rsid w:val="0048635A"/>
    <w:rsid w:val="00495F02"/>
    <w:rsid w:val="004A2174"/>
    <w:rsid w:val="004A4DED"/>
    <w:rsid w:val="004A4E98"/>
    <w:rsid w:val="004A640F"/>
    <w:rsid w:val="004C0B7A"/>
    <w:rsid w:val="004C4B5B"/>
    <w:rsid w:val="004D3082"/>
    <w:rsid w:val="004D5A19"/>
    <w:rsid w:val="004E28E5"/>
    <w:rsid w:val="004F0323"/>
    <w:rsid w:val="004F5C2F"/>
    <w:rsid w:val="005171BF"/>
    <w:rsid w:val="00524C20"/>
    <w:rsid w:val="00530CD5"/>
    <w:rsid w:val="00532EC3"/>
    <w:rsid w:val="005332D6"/>
    <w:rsid w:val="00533975"/>
    <w:rsid w:val="00534487"/>
    <w:rsid w:val="00534A71"/>
    <w:rsid w:val="00540AAE"/>
    <w:rsid w:val="0054332E"/>
    <w:rsid w:val="00551693"/>
    <w:rsid w:val="005521C3"/>
    <w:rsid w:val="00553AEC"/>
    <w:rsid w:val="005545A3"/>
    <w:rsid w:val="00555C80"/>
    <w:rsid w:val="0055631B"/>
    <w:rsid w:val="00574EBE"/>
    <w:rsid w:val="00584322"/>
    <w:rsid w:val="00587805"/>
    <w:rsid w:val="00591ED2"/>
    <w:rsid w:val="0059784A"/>
    <w:rsid w:val="005A31B8"/>
    <w:rsid w:val="005A336C"/>
    <w:rsid w:val="005A5819"/>
    <w:rsid w:val="005A7A11"/>
    <w:rsid w:val="005B15F1"/>
    <w:rsid w:val="005B3FFE"/>
    <w:rsid w:val="005C04A3"/>
    <w:rsid w:val="005C4B5C"/>
    <w:rsid w:val="005C6709"/>
    <w:rsid w:val="005D62F0"/>
    <w:rsid w:val="005E7B77"/>
    <w:rsid w:val="005F1732"/>
    <w:rsid w:val="005F362D"/>
    <w:rsid w:val="005F5848"/>
    <w:rsid w:val="005F58D8"/>
    <w:rsid w:val="005F62D7"/>
    <w:rsid w:val="005F7423"/>
    <w:rsid w:val="00603447"/>
    <w:rsid w:val="0060523D"/>
    <w:rsid w:val="006075F0"/>
    <w:rsid w:val="00614059"/>
    <w:rsid w:val="00616767"/>
    <w:rsid w:val="00621008"/>
    <w:rsid w:val="00621441"/>
    <w:rsid w:val="00624F4E"/>
    <w:rsid w:val="00630A39"/>
    <w:rsid w:val="00630DD3"/>
    <w:rsid w:val="00636C3B"/>
    <w:rsid w:val="00642A07"/>
    <w:rsid w:val="00655B35"/>
    <w:rsid w:val="00657A9D"/>
    <w:rsid w:val="006602C3"/>
    <w:rsid w:val="00662F5E"/>
    <w:rsid w:val="006631E6"/>
    <w:rsid w:val="006639EB"/>
    <w:rsid w:val="0066402D"/>
    <w:rsid w:val="006656DB"/>
    <w:rsid w:val="006758FD"/>
    <w:rsid w:val="006762EE"/>
    <w:rsid w:val="0067728A"/>
    <w:rsid w:val="0068484D"/>
    <w:rsid w:val="006859DB"/>
    <w:rsid w:val="0068615F"/>
    <w:rsid w:val="00687A84"/>
    <w:rsid w:val="0069667C"/>
    <w:rsid w:val="006A2E70"/>
    <w:rsid w:val="006B0BDD"/>
    <w:rsid w:val="006B2988"/>
    <w:rsid w:val="006B4A2C"/>
    <w:rsid w:val="006B6E58"/>
    <w:rsid w:val="006B7125"/>
    <w:rsid w:val="006B7365"/>
    <w:rsid w:val="006C108B"/>
    <w:rsid w:val="006D039E"/>
    <w:rsid w:val="006D4484"/>
    <w:rsid w:val="006D769E"/>
    <w:rsid w:val="006F4821"/>
    <w:rsid w:val="006F758B"/>
    <w:rsid w:val="006F7ECE"/>
    <w:rsid w:val="00702503"/>
    <w:rsid w:val="0070430E"/>
    <w:rsid w:val="0071673F"/>
    <w:rsid w:val="0071704A"/>
    <w:rsid w:val="00717443"/>
    <w:rsid w:val="00722651"/>
    <w:rsid w:val="00726BD6"/>
    <w:rsid w:val="007276A7"/>
    <w:rsid w:val="007311FB"/>
    <w:rsid w:val="00737AD3"/>
    <w:rsid w:val="00740412"/>
    <w:rsid w:val="007424CE"/>
    <w:rsid w:val="007538E1"/>
    <w:rsid w:val="00753F85"/>
    <w:rsid w:val="00754CCC"/>
    <w:rsid w:val="00755116"/>
    <w:rsid w:val="00760DF6"/>
    <w:rsid w:val="007631C0"/>
    <w:rsid w:val="00770D42"/>
    <w:rsid w:val="007774EB"/>
    <w:rsid w:val="00783EDD"/>
    <w:rsid w:val="00786984"/>
    <w:rsid w:val="00787CD3"/>
    <w:rsid w:val="00793D80"/>
    <w:rsid w:val="007965FE"/>
    <w:rsid w:val="0079700D"/>
    <w:rsid w:val="007A0222"/>
    <w:rsid w:val="007B4A12"/>
    <w:rsid w:val="007B7DFB"/>
    <w:rsid w:val="007C3B62"/>
    <w:rsid w:val="007D1EA1"/>
    <w:rsid w:val="007D41AA"/>
    <w:rsid w:val="007E0EDF"/>
    <w:rsid w:val="007E3D91"/>
    <w:rsid w:val="007E4C73"/>
    <w:rsid w:val="007E69D3"/>
    <w:rsid w:val="007E6FD8"/>
    <w:rsid w:val="007F52AA"/>
    <w:rsid w:val="0080211C"/>
    <w:rsid w:val="00802144"/>
    <w:rsid w:val="00803075"/>
    <w:rsid w:val="00805365"/>
    <w:rsid w:val="00806C92"/>
    <w:rsid w:val="0081408B"/>
    <w:rsid w:val="008142C3"/>
    <w:rsid w:val="00817259"/>
    <w:rsid w:val="008217BF"/>
    <w:rsid w:val="0082227C"/>
    <w:rsid w:val="008248DF"/>
    <w:rsid w:val="008328EE"/>
    <w:rsid w:val="00832E39"/>
    <w:rsid w:val="00834F00"/>
    <w:rsid w:val="00840534"/>
    <w:rsid w:val="0084224C"/>
    <w:rsid w:val="008422C1"/>
    <w:rsid w:val="00842553"/>
    <w:rsid w:val="00846D16"/>
    <w:rsid w:val="0085222F"/>
    <w:rsid w:val="00856987"/>
    <w:rsid w:val="0086209A"/>
    <w:rsid w:val="00862B5C"/>
    <w:rsid w:val="0086552C"/>
    <w:rsid w:val="0086643A"/>
    <w:rsid w:val="00870E72"/>
    <w:rsid w:val="00874832"/>
    <w:rsid w:val="00877702"/>
    <w:rsid w:val="0088042C"/>
    <w:rsid w:val="008811D2"/>
    <w:rsid w:val="00883345"/>
    <w:rsid w:val="00883700"/>
    <w:rsid w:val="00883A8B"/>
    <w:rsid w:val="00887A1E"/>
    <w:rsid w:val="008916F3"/>
    <w:rsid w:val="00892212"/>
    <w:rsid w:val="0089441D"/>
    <w:rsid w:val="00896E2E"/>
    <w:rsid w:val="008A0B79"/>
    <w:rsid w:val="008A4409"/>
    <w:rsid w:val="008A631D"/>
    <w:rsid w:val="008B5311"/>
    <w:rsid w:val="008C76B8"/>
    <w:rsid w:val="008D0803"/>
    <w:rsid w:val="008D31EC"/>
    <w:rsid w:val="008D6E01"/>
    <w:rsid w:val="008E44F5"/>
    <w:rsid w:val="008F5728"/>
    <w:rsid w:val="008F693C"/>
    <w:rsid w:val="008F72D6"/>
    <w:rsid w:val="00903E8A"/>
    <w:rsid w:val="00907E75"/>
    <w:rsid w:val="009130A3"/>
    <w:rsid w:val="009130D2"/>
    <w:rsid w:val="00915199"/>
    <w:rsid w:val="009164E8"/>
    <w:rsid w:val="009208AC"/>
    <w:rsid w:val="009247E0"/>
    <w:rsid w:val="00927F7B"/>
    <w:rsid w:val="00936A49"/>
    <w:rsid w:val="00937005"/>
    <w:rsid w:val="00941DCE"/>
    <w:rsid w:val="00945BAA"/>
    <w:rsid w:val="00945EA0"/>
    <w:rsid w:val="00950980"/>
    <w:rsid w:val="0095570D"/>
    <w:rsid w:val="009577F0"/>
    <w:rsid w:val="009602F9"/>
    <w:rsid w:val="00961189"/>
    <w:rsid w:val="009649D0"/>
    <w:rsid w:val="009654F4"/>
    <w:rsid w:val="009665F2"/>
    <w:rsid w:val="00967908"/>
    <w:rsid w:val="009705B5"/>
    <w:rsid w:val="00971ECB"/>
    <w:rsid w:val="00973194"/>
    <w:rsid w:val="009732D8"/>
    <w:rsid w:val="0098081D"/>
    <w:rsid w:val="00997F90"/>
    <w:rsid w:val="009A1159"/>
    <w:rsid w:val="009B0551"/>
    <w:rsid w:val="009B1481"/>
    <w:rsid w:val="009B1EEF"/>
    <w:rsid w:val="009B2BDF"/>
    <w:rsid w:val="009B36E9"/>
    <w:rsid w:val="009B4194"/>
    <w:rsid w:val="009B5E1D"/>
    <w:rsid w:val="009B6B0E"/>
    <w:rsid w:val="009C16A6"/>
    <w:rsid w:val="009C2AD4"/>
    <w:rsid w:val="009C2D22"/>
    <w:rsid w:val="009C68D3"/>
    <w:rsid w:val="009C71FE"/>
    <w:rsid w:val="009D1774"/>
    <w:rsid w:val="009D1F33"/>
    <w:rsid w:val="009E0351"/>
    <w:rsid w:val="009E06A8"/>
    <w:rsid w:val="009E315C"/>
    <w:rsid w:val="009E36F2"/>
    <w:rsid w:val="009F24D9"/>
    <w:rsid w:val="009F41EB"/>
    <w:rsid w:val="009F589D"/>
    <w:rsid w:val="00A01210"/>
    <w:rsid w:val="00A0281A"/>
    <w:rsid w:val="00A032A4"/>
    <w:rsid w:val="00A04CEE"/>
    <w:rsid w:val="00A05DEA"/>
    <w:rsid w:val="00A07D12"/>
    <w:rsid w:val="00A14DF6"/>
    <w:rsid w:val="00A16706"/>
    <w:rsid w:val="00A21D39"/>
    <w:rsid w:val="00A2479F"/>
    <w:rsid w:val="00A2689B"/>
    <w:rsid w:val="00A27E4C"/>
    <w:rsid w:val="00A315B4"/>
    <w:rsid w:val="00A33194"/>
    <w:rsid w:val="00A33BC3"/>
    <w:rsid w:val="00A34AA1"/>
    <w:rsid w:val="00A3522E"/>
    <w:rsid w:val="00A362A2"/>
    <w:rsid w:val="00A36F71"/>
    <w:rsid w:val="00A419B0"/>
    <w:rsid w:val="00A45195"/>
    <w:rsid w:val="00A552D0"/>
    <w:rsid w:val="00A556DF"/>
    <w:rsid w:val="00A56E74"/>
    <w:rsid w:val="00A64785"/>
    <w:rsid w:val="00A66306"/>
    <w:rsid w:val="00A76AD8"/>
    <w:rsid w:val="00A806BB"/>
    <w:rsid w:val="00A8178E"/>
    <w:rsid w:val="00A8492A"/>
    <w:rsid w:val="00A873FF"/>
    <w:rsid w:val="00AA25CC"/>
    <w:rsid w:val="00AA5778"/>
    <w:rsid w:val="00AA6E91"/>
    <w:rsid w:val="00AB001D"/>
    <w:rsid w:val="00AB06DF"/>
    <w:rsid w:val="00AB64B2"/>
    <w:rsid w:val="00AB6A6A"/>
    <w:rsid w:val="00AC2A79"/>
    <w:rsid w:val="00AC46B4"/>
    <w:rsid w:val="00AC70F5"/>
    <w:rsid w:val="00AC7A15"/>
    <w:rsid w:val="00AD0B87"/>
    <w:rsid w:val="00AD1394"/>
    <w:rsid w:val="00AE02F1"/>
    <w:rsid w:val="00AE0E02"/>
    <w:rsid w:val="00AE4E71"/>
    <w:rsid w:val="00AE6AEF"/>
    <w:rsid w:val="00AF41B9"/>
    <w:rsid w:val="00AF7773"/>
    <w:rsid w:val="00B01B35"/>
    <w:rsid w:val="00B021F8"/>
    <w:rsid w:val="00B04F80"/>
    <w:rsid w:val="00B0611F"/>
    <w:rsid w:val="00B10A7B"/>
    <w:rsid w:val="00B204A1"/>
    <w:rsid w:val="00B2464E"/>
    <w:rsid w:val="00B27C40"/>
    <w:rsid w:val="00B37FA5"/>
    <w:rsid w:val="00B40C8F"/>
    <w:rsid w:val="00B4627F"/>
    <w:rsid w:val="00B47222"/>
    <w:rsid w:val="00B57E4D"/>
    <w:rsid w:val="00B6259F"/>
    <w:rsid w:val="00B63A8E"/>
    <w:rsid w:val="00B66E29"/>
    <w:rsid w:val="00B73649"/>
    <w:rsid w:val="00B75ADD"/>
    <w:rsid w:val="00B7714F"/>
    <w:rsid w:val="00B84107"/>
    <w:rsid w:val="00B84D46"/>
    <w:rsid w:val="00B87216"/>
    <w:rsid w:val="00B9221F"/>
    <w:rsid w:val="00B94869"/>
    <w:rsid w:val="00BA2126"/>
    <w:rsid w:val="00BA4F5B"/>
    <w:rsid w:val="00BA6DAD"/>
    <w:rsid w:val="00BB7BA1"/>
    <w:rsid w:val="00BC0405"/>
    <w:rsid w:val="00BC207A"/>
    <w:rsid w:val="00BC241A"/>
    <w:rsid w:val="00BC2880"/>
    <w:rsid w:val="00BC51EB"/>
    <w:rsid w:val="00BC75DC"/>
    <w:rsid w:val="00BD19AE"/>
    <w:rsid w:val="00BD3FC3"/>
    <w:rsid w:val="00BD4C40"/>
    <w:rsid w:val="00BD7DFC"/>
    <w:rsid w:val="00BE3D7E"/>
    <w:rsid w:val="00BE63BA"/>
    <w:rsid w:val="00BE76DC"/>
    <w:rsid w:val="00BE784B"/>
    <w:rsid w:val="00BF07B9"/>
    <w:rsid w:val="00BF0ADB"/>
    <w:rsid w:val="00BF4A66"/>
    <w:rsid w:val="00BF6375"/>
    <w:rsid w:val="00BF71D9"/>
    <w:rsid w:val="00C0586B"/>
    <w:rsid w:val="00C05A7A"/>
    <w:rsid w:val="00C06995"/>
    <w:rsid w:val="00C1729E"/>
    <w:rsid w:val="00C20694"/>
    <w:rsid w:val="00C21C87"/>
    <w:rsid w:val="00C21FC6"/>
    <w:rsid w:val="00C25FD8"/>
    <w:rsid w:val="00C26BF3"/>
    <w:rsid w:val="00C34B1D"/>
    <w:rsid w:val="00C37476"/>
    <w:rsid w:val="00C40864"/>
    <w:rsid w:val="00C439C9"/>
    <w:rsid w:val="00C45B8A"/>
    <w:rsid w:val="00C519E0"/>
    <w:rsid w:val="00C6023A"/>
    <w:rsid w:val="00C62371"/>
    <w:rsid w:val="00C624C2"/>
    <w:rsid w:val="00C62C41"/>
    <w:rsid w:val="00C66C76"/>
    <w:rsid w:val="00C778BC"/>
    <w:rsid w:val="00C86147"/>
    <w:rsid w:val="00C86C20"/>
    <w:rsid w:val="00C90590"/>
    <w:rsid w:val="00C92D7B"/>
    <w:rsid w:val="00C93AE2"/>
    <w:rsid w:val="00C96357"/>
    <w:rsid w:val="00CA128C"/>
    <w:rsid w:val="00CA196B"/>
    <w:rsid w:val="00CA3E09"/>
    <w:rsid w:val="00CA787E"/>
    <w:rsid w:val="00CB4A6B"/>
    <w:rsid w:val="00CB6227"/>
    <w:rsid w:val="00CB7569"/>
    <w:rsid w:val="00CC1C15"/>
    <w:rsid w:val="00CC4C08"/>
    <w:rsid w:val="00CD00ED"/>
    <w:rsid w:val="00CD446B"/>
    <w:rsid w:val="00CD44D7"/>
    <w:rsid w:val="00CD736B"/>
    <w:rsid w:val="00CE3900"/>
    <w:rsid w:val="00CE4AFF"/>
    <w:rsid w:val="00CE7213"/>
    <w:rsid w:val="00CE7D81"/>
    <w:rsid w:val="00CF152E"/>
    <w:rsid w:val="00CF1932"/>
    <w:rsid w:val="00CF4E1A"/>
    <w:rsid w:val="00D018B8"/>
    <w:rsid w:val="00D028D8"/>
    <w:rsid w:val="00D0465C"/>
    <w:rsid w:val="00D15E96"/>
    <w:rsid w:val="00D16267"/>
    <w:rsid w:val="00D2409C"/>
    <w:rsid w:val="00D269AB"/>
    <w:rsid w:val="00D2795A"/>
    <w:rsid w:val="00D3066A"/>
    <w:rsid w:val="00D3154E"/>
    <w:rsid w:val="00D3220F"/>
    <w:rsid w:val="00D34161"/>
    <w:rsid w:val="00D342C7"/>
    <w:rsid w:val="00D4224A"/>
    <w:rsid w:val="00D4660E"/>
    <w:rsid w:val="00D50256"/>
    <w:rsid w:val="00D542F6"/>
    <w:rsid w:val="00D551C4"/>
    <w:rsid w:val="00D566E1"/>
    <w:rsid w:val="00D6168C"/>
    <w:rsid w:val="00D62E4A"/>
    <w:rsid w:val="00D82381"/>
    <w:rsid w:val="00D830F3"/>
    <w:rsid w:val="00D848A7"/>
    <w:rsid w:val="00D85355"/>
    <w:rsid w:val="00D854F5"/>
    <w:rsid w:val="00D90162"/>
    <w:rsid w:val="00D9274C"/>
    <w:rsid w:val="00D94EA1"/>
    <w:rsid w:val="00D95D3D"/>
    <w:rsid w:val="00D96010"/>
    <w:rsid w:val="00DA558B"/>
    <w:rsid w:val="00DB1744"/>
    <w:rsid w:val="00DB41D8"/>
    <w:rsid w:val="00DB7A77"/>
    <w:rsid w:val="00DC1ABC"/>
    <w:rsid w:val="00DC6D07"/>
    <w:rsid w:val="00DC78B1"/>
    <w:rsid w:val="00DD14BB"/>
    <w:rsid w:val="00DD2C14"/>
    <w:rsid w:val="00DD311E"/>
    <w:rsid w:val="00DD546B"/>
    <w:rsid w:val="00DE2E9B"/>
    <w:rsid w:val="00E023EE"/>
    <w:rsid w:val="00E03B7F"/>
    <w:rsid w:val="00E11FF9"/>
    <w:rsid w:val="00E12708"/>
    <w:rsid w:val="00E21B19"/>
    <w:rsid w:val="00E226F1"/>
    <w:rsid w:val="00E25508"/>
    <w:rsid w:val="00E256C7"/>
    <w:rsid w:val="00E304A9"/>
    <w:rsid w:val="00E323F7"/>
    <w:rsid w:val="00E41DF6"/>
    <w:rsid w:val="00E43A46"/>
    <w:rsid w:val="00E528DC"/>
    <w:rsid w:val="00E60FB3"/>
    <w:rsid w:val="00E624FE"/>
    <w:rsid w:val="00E66652"/>
    <w:rsid w:val="00E7402C"/>
    <w:rsid w:val="00E800A8"/>
    <w:rsid w:val="00E91112"/>
    <w:rsid w:val="00E918EF"/>
    <w:rsid w:val="00E93650"/>
    <w:rsid w:val="00EA4377"/>
    <w:rsid w:val="00EB27F0"/>
    <w:rsid w:val="00EB4D98"/>
    <w:rsid w:val="00EC13F1"/>
    <w:rsid w:val="00EC16DD"/>
    <w:rsid w:val="00EC6555"/>
    <w:rsid w:val="00ED587A"/>
    <w:rsid w:val="00ED7960"/>
    <w:rsid w:val="00EE0A53"/>
    <w:rsid w:val="00EE3D43"/>
    <w:rsid w:val="00F005A4"/>
    <w:rsid w:val="00F033AC"/>
    <w:rsid w:val="00F03B9E"/>
    <w:rsid w:val="00F0442E"/>
    <w:rsid w:val="00F04505"/>
    <w:rsid w:val="00F1118C"/>
    <w:rsid w:val="00F15FED"/>
    <w:rsid w:val="00F17DCA"/>
    <w:rsid w:val="00F241EB"/>
    <w:rsid w:val="00F260EF"/>
    <w:rsid w:val="00F278CC"/>
    <w:rsid w:val="00F311A2"/>
    <w:rsid w:val="00F355CB"/>
    <w:rsid w:val="00F36FE2"/>
    <w:rsid w:val="00F3739B"/>
    <w:rsid w:val="00F442A9"/>
    <w:rsid w:val="00F50E31"/>
    <w:rsid w:val="00F5187A"/>
    <w:rsid w:val="00F52858"/>
    <w:rsid w:val="00F53B13"/>
    <w:rsid w:val="00F5467D"/>
    <w:rsid w:val="00F54A47"/>
    <w:rsid w:val="00F6241B"/>
    <w:rsid w:val="00F641B5"/>
    <w:rsid w:val="00F74465"/>
    <w:rsid w:val="00F7470A"/>
    <w:rsid w:val="00F77808"/>
    <w:rsid w:val="00F819A7"/>
    <w:rsid w:val="00F87117"/>
    <w:rsid w:val="00F87CF4"/>
    <w:rsid w:val="00F87DAD"/>
    <w:rsid w:val="00FA1195"/>
    <w:rsid w:val="00FA186D"/>
    <w:rsid w:val="00FA6F6F"/>
    <w:rsid w:val="00FB3B4A"/>
    <w:rsid w:val="00FC6601"/>
    <w:rsid w:val="00FD1808"/>
    <w:rsid w:val="00FD7FC4"/>
    <w:rsid w:val="00FE0EAB"/>
    <w:rsid w:val="00FE16ED"/>
    <w:rsid w:val="00FE26F1"/>
    <w:rsid w:val="00FF0AF8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70CE"/>
  <w15:docId w15:val="{8DEB40D3-7654-4A31-A6D3-506AF5A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2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CF15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F1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F1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15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52E"/>
    <w:rPr>
      <w:rFonts w:ascii="Tahoma" w:eastAsia="Times New Roman" w:hAnsi="Tahoma" w:cs="Tahoma"/>
      <w:sz w:val="16"/>
      <w:szCs w:val="16"/>
    </w:rPr>
  </w:style>
  <w:style w:type="paragraph" w:styleId="Sadraj1">
    <w:name w:val="toc 1"/>
    <w:basedOn w:val="Normal"/>
    <w:next w:val="Normal"/>
    <w:autoRedefine/>
    <w:uiPriority w:val="39"/>
    <w:rsid w:val="00CF152E"/>
    <w:pPr>
      <w:keepNext/>
      <w:tabs>
        <w:tab w:val="left" w:pos="540"/>
        <w:tab w:val="right" w:leader="dot" w:pos="9019"/>
      </w:tabs>
      <w:spacing w:before="120" w:after="60" w:line="360" w:lineRule="auto"/>
      <w:ind w:left="1260" w:hanging="1260"/>
    </w:pPr>
    <w:rPr>
      <w:rFonts w:ascii="Arial" w:hAnsi="Arial" w:cs="Arial"/>
      <w:b/>
      <w:noProof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rsid w:val="00CF152E"/>
    <w:pPr>
      <w:tabs>
        <w:tab w:val="right" w:leader="dot" w:pos="9019"/>
      </w:tabs>
      <w:spacing w:after="60"/>
      <w:ind w:left="737"/>
    </w:pPr>
    <w:rPr>
      <w:rFonts w:ascii="Arial" w:hAnsi="Arial" w:cs="Arial"/>
      <w:b/>
      <w:bCs/>
      <w:noProof/>
      <w:sz w:val="21"/>
      <w:szCs w:val="21"/>
    </w:rPr>
  </w:style>
  <w:style w:type="paragraph" w:styleId="Sadraj3">
    <w:name w:val="toc 3"/>
    <w:basedOn w:val="Normal"/>
    <w:next w:val="Normal"/>
    <w:autoRedefine/>
    <w:uiPriority w:val="39"/>
    <w:rsid w:val="00CF152E"/>
    <w:pPr>
      <w:ind w:left="440"/>
    </w:pPr>
  </w:style>
  <w:style w:type="character" w:styleId="Hiperveza">
    <w:name w:val="Hyperlink"/>
    <w:basedOn w:val="Zadanifontodlomka"/>
    <w:uiPriority w:val="99"/>
    <w:rsid w:val="00CF152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CF15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CF152E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paragraph" w:styleId="Zaglavlje">
    <w:name w:val="header"/>
    <w:basedOn w:val="Normal"/>
    <w:link w:val="ZaglavljeChar"/>
    <w:uiPriority w:val="99"/>
    <w:unhideWhenUsed/>
    <w:rsid w:val="00CF15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52E"/>
    <w:rPr>
      <w:rFonts w:ascii="Times New Roman" w:eastAsia="Times New Roman" w:hAnsi="Times New Roman" w:cs="Times New Roman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F15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152E"/>
    <w:rPr>
      <w:rFonts w:ascii="Times New Roman" w:eastAsia="Times New Roman" w:hAnsi="Times New Roman" w:cs="Times New Roman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CF152E"/>
  </w:style>
  <w:style w:type="paragraph" w:customStyle="1" w:styleId="Heading1-BFP">
    <w:name w:val="Heading 1 - BFP"/>
    <w:basedOn w:val="Naslov1"/>
    <w:rsid w:val="00CF152E"/>
    <w:pPr>
      <w:keepNext w:val="0"/>
      <w:keepLines w:val="0"/>
      <w:tabs>
        <w:tab w:val="right" w:leader="dot" w:pos="9019"/>
      </w:tabs>
      <w:spacing w:before="0" w:after="60"/>
      <w:ind w:left="737"/>
      <w:jc w:val="center"/>
    </w:pPr>
    <w:rPr>
      <w:rFonts w:ascii="Arial" w:eastAsia="Times New Roman" w:hAnsi="Arial" w:cs="Arial"/>
      <w:noProof/>
      <w:color w:val="auto"/>
    </w:rPr>
  </w:style>
  <w:style w:type="character" w:customStyle="1" w:styleId="Naslov2Char">
    <w:name w:val="Naslov 2 Char"/>
    <w:basedOn w:val="Zadanifontodlomka"/>
    <w:link w:val="Naslov2"/>
    <w:uiPriority w:val="9"/>
    <w:rsid w:val="00CF1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F152E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Tekstfusnote">
    <w:name w:val="footnote text"/>
    <w:aliases w:val="Char1 Char,Footnote Text Char Char,Char1 Char Char,Char Char Char Char,Char Char Char,Podrozdział,Footnote Text Blue,Footnote Text1,Char,fn,FOOTNOTES,single space,ADB,ft,Te"/>
    <w:basedOn w:val="Normal"/>
    <w:link w:val="TekstfusnoteChar"/>
    <w:uiPriority w:val="99"/>
    <w:semiHidden/>
    <w:rsid w:val="00CF152E"/>
    <w:pPr>
      <w:tabs>
        <w:tab w:val="left" w:pos="432"/>
      </w:tabs>
      <w:spacing w:after="20"/>
      <w:ind w:left="432" w:hanging="432"/>
      <w:jc w:val="both"/>
    </w:pPr>
    <w:rPr>
      <w:sz w:val="18"/>
    </w:rPr>
  </w:style>
  <w:style w:type="character" w:customStyle="1" w:styleId="TekstfusnoteChar">
    <w:name w:val="Tekst fusnote Char"/>
    <w:aliases w:val="Char1 Char Char1,Footnote Text Char Char Char,Char1 Char Char Char,Char Char Char Char Char,Char Char Char Char1,Podrozdział Char,Footnote Text Blue Char,Footnote Text1 Char,Char Char,fn Char,FOOTNOTES Char,single space Char,ADB Char"/>
    <w:basedOn w:val="Zadanifontodlomka"/>
    <w:link w:val="Tekstfusnote"/>
    <w:uiPriority w:val="99"/>
    <w:semiHidden/>
    <w:rsid w:val="00CF152E"/>
    <w:rPr>
      <w:rFonts w:ascii="Times New Roman" w:eastAsia="Times New Roman" w:hAnsi="Times New Roman" w:cs="Times New Roman"/>
      <w:sz w:val="18"/>
      <w:szCs w:val="20"/>
    </w:rPr>
  </w:style>
  <w:style w:type="character" w:styleId="Referencafusnote">
    <w:name w:val="footnote reference"/>
    <w:aliases w:val="ftref,Footnote Reference Superscript"/>
    <w:basedOn w:val="Zadanifontodlomka"/>
    <w:uiPriority w:val="99"/>
    <w:semiHidden/>
    <w:rsid w:val="00CF152E"/>
    <w:rPr>
      <w:vertAlign w:val="superscript"/>
    </w:rPr>
  </w:style>
  <w:style w:type="paragraph" w:customStyle="1" w:styleId="Heading2-BFP">
    <w:name w:val="Heading 2 - BFP"/>
    <w:basedOn w:val="Naslov2"/>
    <w:rsid w:val="00CF152E"/>
    <w:pPr>
      <w:keepLines w:val="0"/>
      <w:spacing w:before="360" w:after="120"/>
    </w:pPr>
    <w:rPr>
      <w:rFonts w:ascii="Arial" w:eastAsia="Times New Roman" w:hAnsi="Arial" w:cs="Arial"/>
      <w:color w:val="auto"/>
      <w:kern w:val="28"/>
      <w:sz w:val="24"/>
      <w:szCs w:val="22"/>
    </w:rPr>
  </w:style>
  <w:style w:type="paragraph" w:styleId="Opisslike">
    <w:name w:val="caption"/>
    <w:basedOn w:val="Normal"/>
    <w:next w:val="Normal"/>
    <w:qFormat/>
    <w:rsid w:val="00CF152E"/>
    <w:pPr>
      <w:spacing w:after="200"/>
    </w:pPr>
    <w:rPr>
      <w:rFonts w:ascii="Calibri" w:hAnsi="Calibri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6762EE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6762EE"/>
    <w:rPr>
      <w:rFonts w:eastAsiaTheme="minorEastAsia"/>
    </w:rPr>
  </w:style>
  <w:style w:type="table" w:customStyle="1" w:styleId="Svijetlipopis-Isticanje12">
    <w:name w:val="Svijetli popis - Isticanje 12"/>
    <w:basedOn w:val="Obinatablica"/>
    <w:uiPriority w:val="61"/>
    <w:rsid w:val="0011749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0213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213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9E36F2"/>
    <w:pPr>
      <w:spacing w:after="200" w:line="276" w:lineRule="auto"/>
      <w:ind w:left="720"/>
      <w:contextualSpacing/>
    </w:pPr>
    <w:rPr>
      <w:rFonts w:eastAsiaTheme="minorEastAsia" w:cstheme="minorBidi"/>
      <w:sz w:val="24"/>
      <w:szCs w:val="22"/>
      <w:lang w:eastAsia="hr-HR"/>
    </w:rPr>
  </w:style>
  <w:style w:type="table" w:customStyle="1" w:styleId="Svijetlipopis-Isticanje11">
    <w:name w:val="Svijetli popis - Isticanje 11"/>
    <w:basedOn w:val="Obinatablica"/>
    <w:uiPriority w:val="61"/>
    <w:rsid w:val="001B3788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v3um">
    <w:name w:val="uv3um"/>
    <w:basedOn w:val="Zadanifontodlomka"/>
    <w:rsid w:val="00636C3B"/>
  </w:style>
  <w:style w:type="character" w:styleId="Naglaeno">
    <w:name w:val="Strong"/>
    <w:basedOn w:val="Zadanifontodlomka"/>
    <w:uiPriority w:val="22"/>
    <w:qFormat/>
    <w:rsid w:val="008217BF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D2CF7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A787E"/>
    <w:rPr>
      <w:color w:val="800080"/>
      <w:u w:val="single"/>
    </w:rPr>
  </w:style>
  <w:style w:type="paragraph" w:customStyle="1" w:styleId="msonormal0">
    <w:name w:val="msonormal"/>
    <w:basedOn w:val="Normal"/>
    <w:rsid w:val="00CA787E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65">
    <w:name w:val="xl65"/>
    <w:basedOn w:val="Normal"/>
    <w:rsid w:val="00CA787E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A787E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CA787E"/>
    <w:pPr>
      <w:spacing w:before="100" w:beforeAutospacing="1" w:after="100" w:afterAutospacing="1"/>
    </w:pPr>
    <w:rPr>
      <w:rFonts w:ascii="Calibri" w:hAnsi="Calibri" w:cs="Calibri"/>
      <w:b/>
      <w:bCs/>
      <w:i/>
      <w:iCs/>
      <w:sz w:val="24"/>
      <w:szCs w:val="24"/>
      <w:lang w:eastAsia="hr-HR"/>
    </w:rPr>
  </w:style>
  <w:style w:type="paragraph" w:customStyle="1" w:styleId="xl68">
    <w:name w:val="xl68"/>
    <w:basedOn w:val="Normal"/>
    <w:rsid w:val="00CA787E"/>
    <w:pPr>
      <w:spacing w:before="100" w:beforeAutospacing="1" w:after="100" w:afterAutospacing="1"/>
    </w:pPr>
    <w:rPr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CA787E"/>
    <w:pPr>
      <w:spacing w:before="100" w:beforeAutospacing="1" w:after="100" w:afterAutospacing="1"/>
    </w:pPr>
    <w:rPr>
      <w:sz w:val="13"/>
      <w:szCs w:val="13"/>
      <w:lang w:eastAsia="hr-HR"/>
    </w:rPr>
  </w:style>
  <w:style w:type="paragraph" w:customStyle="1" w:styleId="xl70">
    <w:name w:val="xl70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71">
    <w:name w:val="xl71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72">
    <w:name w:val="xl72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73">
    <w:name w:val="xl73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74">
    <w:name w:val="xl74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75">
    <w:name w:val="xl75"/>
    <w:basedOn w:val="Normal"/>
    <w:rsid w:val="00CA787E"/>
    <w:pPr>
      <w:spacing w:before="100" w:beforeAutospacing="1" w:after="100" w:afterAutospacing="1"/>
    </w:pPr>
    <w:rPr>
      <w:sz w:val="13"/>
      <w:szCs w:val="13"/>
      <w:lang w:eastAsia="hr-HR"/>
    </w:rPr>
  </w:style>
  <w:style w:type="paragraph" w:customStyle="1" w:styleId="xl76">
    <w:name w:val="xl76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77">
    <w:name w:val="xl77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78">
    <w:name w:val="xl78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79">
    <w:name w:val="xl79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80">
    <w:name w:val="xl80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81">
    <w:name w:val="xl81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82">
    <w:name w:val="xl82"/>
    <w:basedOn w:val="Normal"/>
    <w:rsid w:val="00CA787E"/>
    <w:pP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83">
    <w:name w:val="xl83"/>
    <w:basedOn w:val="Normal"/>
    <w:rsid w:val="00CA787E"/>
    <w:pP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84">
    <w:name w:val="xl84"/>
    <w:basedOn w:val="Normal"/>
    <w:rsid w:val="00CA787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85">
    <w:name w:val="xl85"/>
    <w:basedOn w:val="Normal"/>
    <w:rsid w:val="00CA787E"/>
    <w:pPr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86">
    <w:name w:val="xl86"/>
    <w:basedOn w:val="Normal"/>
    <w:rsid w:val="00CA787E"/>
    <w:pPr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87">
    <w:name w:val="xl87"/>
    <w:basedOn w:val="Normal"/>
    <w:rsid w:val="00CA787E"/>
    <w:pPr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88">
    <w:name w:val="xl88"/>
    <w:basedOn w:val="Normal"/>
    <w:rsid w:val="00CA787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89">
    <w:name w:val="xl89"/>
    <w:basedOn w:val="Normal"/>
    <w:rsid w:val="00CA787E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3"/>
      <w:szCs w:val="13"/>
      <w:lang w:eastAsia="hr-HR"/>
    </w:rPr>
  </w:style>
  <w:style w:type="paragraph" w:customStyle="1" w:styleId="xl90">
    <w:name w:val="xl90"/>
    <w:basedOn w:val="Normal"/>
    <w:rsid w:val="00CA7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91">
    <w:name w:val="xl91"/>
    <w:basedOn w:val="Normal"/>
    <w:rsid w:val="00CA7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92">
    <w:name w:val="xl92"/>
    <w:basedOn w:val="Normal"/>
    <w:rsid w:val="00CA7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93">
    <w:name w:val="xl93"/>
    <w:basedOn w:val="Normal"/>
    <w:rsid w:val="00CA787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94">
    <w:name w:val="xl94"/>
    <w:basedOn w:val="Normal"/>
    <w:rsid w:val="00CA787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95">
    <w:name w:val="xl95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96">
    <w:name w:val="xl96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97">
    <w:name w:val="xl97"/>
    <w:basedOn w:val="Normal"/>
    <w:rsid w:val="00CA787E"/>
    <w:pPr>
      <w:pBdr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98">
    <w:name w:val="xl98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hr-HR"/>
    </w:rPr>
  </w:style>
  <w:style w:type="paragraph" w:customStyle="1" w:styleId="xl99">
    <w:name w:val="xl99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100">
    <w:name w:val="xl100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xl101">
    <w:name w:val="xl101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102">
    <w:name w:val="xl102"/>
    <w:basedOn w:val="Normal"/>
    <w:rsid w:val="00CA78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103">
    <w:name w:val="xl103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104">
    <w:name w:val="xl104"/>
    <w:basedOn w:val="Normal"/>
    <w:rsid w:val="00CA7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105">
    <w:name w:val="xl105"/>
    <w:basedOn w:val="Normal"/>
    <w:rsid w:val="00CA787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3"/>
      <w:szCs w:val="13"/>
      <w:lang w:eastAsia="hr-HR"/>
    </w:rPr>
  </w:style>
  <w:style w:type="paragraph" w:customStyle="1" w:styleId="xl106">
    <w:name w:val="xl106"/>
    <w:basedOn w:val="Normal"/>
    <w:rsid w:val="00CA7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107">
    <w:name w:val="xl107"/>
    <w:basedOn w:val="Normal"/>
    <w:rsid w:val="00CA787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3"/>
      <w:szCs w:val="13"/>
      <w:lang w:eastAsia="hr-HR"/>
    </w:rPr>
  </w:style>
  <w:style w:type="paragraph" w:customStyle="1" w:styleId="xl108">
    <w:name w:val="xl108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3"/>
      <w:szCs w:val="13"/>
      <w:lang w:eastAsia="hr-HR"/>
    </w:rPr>
  </w:style>
  <w:style w:type="paragraph" w:customStyle="1" w:styleId="xl109">
    <w:name w:val="xl109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0">
    <w:name w:val="xl110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1">
    <w:name w:val="xl111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right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2">
    <w:name w:val="xl112"/>
    <w:basedOn w:val="Normal"/>
    <w:rsid w:val="00CA787E"/>
    <w:pPr>
      <w:pBdr>
        <w:right w:val="single" w:sz="8" w:space="0" w:color="auto"/>
      </w:pBdr>
      <w:shd w:val="clear" w:color="000000" w:fill="DDD9C4"/>
      <w:spacing w:before="100" w:beforeAutospacing="1" w:after="100" w:afterAutospacing="1"/>
      <w:jc w:val="right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3">
    <w:name w:val="xl113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4">
    <w:name w:val="xl114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5">
    <w:name w:val="xl115"/>
    <w:basedOn w:val="Normal"/>
    <w:rsid w:val="00CA787E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right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6">
    <w:name w:val="xl116"/>
    <w:basedOn w:val="Normal"/>
    <w:rsid w:val="00CA7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3"/>
      <w:szCs w:val="13"/>
      <w:lang w:eastAsia="hr-HR"/>
    </w:rPr>
  </w:style>
  <w:style w:type="paragraph" w:customStyle="1" w:styleId="xl117">
    <w:name w:val="xl117"/>
    <w:basedOn w:val="Normal"/>
    <w:rsid w:val="00CA787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8">
    <w:name w:val="xl118"/>
    <w:basedOn w:val="Normal"/>
    <w:rsid w:val="00CA787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19">
    <w:name w:val="xl119"/>
    <w:basedOn w:val="Normal"/>
    <w:rsid w:val="00CA787E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CA787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1">
    <w:name w:val="xl121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2">
    <w:name w:val="xl122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13"/>
      <w:szCs w:val="13"/>
      <w:lang w:eastAsia="hr-HR"/>
    </w:rPr>
  </w:style>
  <w:style w:type="paragraph" w:customStyle="1" w:styleId="xl123">
    <w:name w:val="xl123"/>
    <w:basedOn w:val="Normal"/>
    <w:rsid w:val="00CA787E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4">
    <w:name w:val="xl124"/>
    <w:basedOn w:val="Normal"/>
    <w:rsid w:val="00CA787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5">
    <w:name w:val="xl125"/>
    <w:basedOn w:val="Normal"/>
    <w:rsid w:val="00CA787E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6">
    <w:name w:val="xl126"/>
    <w:basedOn w:val="Normal"/>
    <w:rsid w:val="00CA787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rFonts w:ascii="Arial" w:hAnsi="Arial" w:cs="Arial"/>
      <w:b/>
      <w:bCs/>
      <w:sz w:val="13"/>
      <w:szCs w:val="13"/>
      <w:lang w:eastAsia="hr-HR"/>
    </w:rPr>
  </w:style>
  <w:style w:type="paragraph" w:customStyle="1" w:styleId="xl127">
    <w:name w:val="xl127"/>
    <w:basedOn w:val="Normal"/>
    <w:rsid w:val="00CA78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</w:pPr>
    <w:rPr>
      <w:b/>
      <w:bCs/>
      <w:sz w:val="13"/>
      <w:szCs w:val="13"/>
      <w:lang w:eastAsia="hr-HR"/>
    </w:rPr>
  </w:style>
  <w:style w:type="paragraph" w:customStyle="1" w:styleId="xl128">
    <w:name w:val="xl128"/>
    <w:basedOn w:val="Normal"/>
    <w:rsid w:val="00CA787E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  <w:style w:type="paragraph" w:customStyle="1" w:styleId="xl129">
    <w:name w:val="xl129"/>
    <w:basedOn w:val="Normal"/>
    <w:rsid w:val="00CA787E"/>
    <w:pPr>
      <w:spacing w:before="100" w:beforeAutospacing="1" w:after="100" w:afterAutospacing="1"/>
    </w:pPr>
    <w:rPr>
      <w:rFonts w:ascii="Arial" w:hAnsi="Arial" w:cs="Arial"/>
      <w:sz w:val="13"/>
      <w:szCs w:val="1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Proračun 100%</c:v>
                </c:pt>
              </c:strCache>
            </c:strRef>
          </c:tx>
          <c:explosion val="25"/>
          <c:dLbls>
            <c:dLbl>
              <c:idx val="1"/>
              <c:tx>
                <c:rich>
                  <a:bodyPr/>
                  <a:lstStyle/>
                  <a:p>
                    <a:fld id="{8D175B2E-BE14-4C10-BB5C-F87F528F204D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62,33</a:t>
                    </a:r>
                  </a:p>
                  <a:p>
                    <a:endParaRPr lang="hr-HR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61-4D28-A4C9-DC38E21022F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Tekuća pričuva</c:v>
                </c:pt>
                <c:pt idx="1">
                  <c:v>Bruto plaće i naknade</c:v>
                </c:pt>
                <c:pt idx="2">
                  <c:v>Materijalni troškovi</c:v>
                </c:pt>
                <c:pt idx="3">
                  <c:v>Tekuće potpore</c:v>
                </c:pt>
                <c:pt idx="4">
                  <c:v>Kapitalne potpore</c:v>
                </c:pt>
                <c:pt idx="5">
                  <c:v>Izdaci za kamate</c:v>
                </c:pt>
                <c:pt idx="6">
                  <c:v>Kapitalni izdaci</c:v>
                </c:pt>
                <c:pt idx="7">
                  <c:v>Otplata duga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0.37</c:v>
                </c:pt>
                <c:pt idx="1">
                  <c:v>62.33</c:v>
                </c:pt>
                <c:pt idx="2">
                  <c:v>7.78</c:v>
                </c:pt>
                <c:pt idx="3">
                  <c:v>18.600000000000001</c:v>
                </c:pt>
                <c:pt idx="4">
                  <c:v>2.74</c:v>
                </c:pt>
                <c:pt idx="5">
                  <c:v>0.01</c:v>
                </c:pt>
                <c:pt idx="6">
                  <c:v>8.01</c:v>
                </c:pt>
                <c:pt idx="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65-473C-B3DE-2192380C486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350649350649534E-2"/>
          <c:y val="0.15708812260537044"/>
          <c:w val="0.59350649350649354"/>
          <c:h val="0.6839080459770114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Sheet1!$D$6</c:f>
              <c:strCache>
                <c:ptCount val="1"/>
                <c:pt idx="0">
                  <c:v>Tekuća pričuva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lang="en-US" sz="84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Sheet1!$G$6:$J$6</c:f>
              <c:numCache>
                <c:formatCode>0.00</c:formatCode>
                <c:ptCount val="4"/>
                <c:pt idx="0">
                  <c:v>0.6</c:v>
                </c:pt>
                <c:pt idx="1">
                  <c:v>0.6</c:v>
                </c:pt>
                <c:pt idx="2">
                  <c:v>0.6</c:v>
                </c:pt>
                <c:pt idx="3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B2-4FE3-8CB1-9729B45A184A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Plaće i naknade</c:v>
                </c:pt>
              </c:strCache>
            </c:strRef>
          </c:tx>
          <c:invertIfNegative val="0"/>
          <c:dLbls>
            <c:spPr>
              <a:noFill/>
              <a:ln w="21492">
                <a:noFill/>
              </a:ln>
            </c:spPr>
            <c:txPr>
              <a:bodyPr/>
              <a:lstStyle/>
              <a:p>
                <a:pPr>
                  <a:defRPr lang="en-US" sz="84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Sheet1!$G$7:$J$7</c:f>
              <c:numCache>
                <c:formatCode>0.00</c:formatCode>
                <c:ptCount val="4"/>
                <c:pt idx="0">
                  <c:v>96.55</c:v>
                </c:pt>
                <c:pt idx="1">
                  <c:v>100.61</c:v>
                </c:pt>
                <c:pt idx="2">
                  <c:v>104.2</c:v>
                </c:pt>
                <c:pt idx="3">
                  <c:v>108.19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B2-4FE3-8CB1-9729B45A184A}"/>
            </c:ext>
          </c:extLst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Materijalni troškovi</c:v>
                </c:pt>
              </c:strCache>
            </c:strRef>
          </c:tx>
          <c:invertIfNegative val="0"/>
          <c:dLbls>
            <c:spPr>
              <a:noFill/>
              <a:ln w="21492">
                <a:noFill/>
              </a:ln>
            </c:spPr>
            <c:txPr>
              <a:bodyPr/>
              <a:lstStyle/>
              <a:p>
                <a:pPr>
                  <a:defRPr lang="en-US" sz="84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Sheet1!$G$8:$J$8</c:f>
              <c:numCache>
                <c:formatCode>0.00</c:formatCode>
                <c:ptCount val="4"/>
                <c:pt idx="0">
                  <c:v>12.15</c:v>
                </c:pt>
                <c:pt idx="1">
                  <c:v>12.5</c:v>
                </c:pt>
                <c:pt idx="2">
                  <c:v>13</c:v>
                </c:pt>
                <c:pt idx="3">
                  <c:v>13.52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B2-4FE3-8CB1-9729B45A184A}"/>
            </c:ext>
          </c:extLst>
        </c:ser>
        <c:ser>
          <c:idx val="3"/>
          <c:order val="3"/>
          <c:tx>
            <c:strRef>
              <c:f>Sheet1!$D$9</c:f>
              <c:strCache>
                <c:ptCount val="1"/>
                <c:pt idx="0">
                  <c:v>Tekuće potpore</c:v>
                </c:pt>
              </c:strCache>
            </c:strRef>
          </c:tx>
          <c:invertIfNegative val="0"/>
          <c:dLbls>
            <c:spPr>
              <a:noFill/>
              <a:ln w="21492">
                <a:noFill/>
              </a:ln>
            </c:spPr>
            <c:txPr>
              <a:bodyPr/>
              <a:lstStyle/>
              <a:p>
                <a:pPr>
                  <a:defRPr lang="en-US" sz="84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Sheet1!$G$9:$J$9</c:f>
              <c:numCache>
                <c:formatCode>0.00</c:formatCode>
                <c:ptCount val="4"/>
                <c:pt idx="0">
                  <c:v>29.09</c:v>
                </c:pt>
                <c:pt idx="1">
                  <c:v>29.47</c:v>
                </c:pt>
                <c:pt idx="2">
                  <c:v>31.09</c:v>
                </c:pt>
                <c:pt idx="3">
                  <c:v>33.229999999999997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B2-4FE3-8CB1-9729B45A184A}"/>
            </c:ext>
          </c:extLst>
        </c:ser>
        <c:ser>
          <c:idx val="4"/>
          <c:order val="4"/>
          <c:tx>
            <c:strRef>
              <c:f>Sheet1!$D$10</c:f>
              <c:strCache>
                <c:ptCount val="1"/>
                <c:pt idx="0">
                  <c:v>Kapitalne potpore</c:v>
                </c:pt>
              </c:strCache>
            </c:strRef>
          </c:tx>
          <c:invertIfNegative val="0"/>
          <c:dLbls>
            <c:spPr>
              <a:noFill/>
              <a:ln w="21492">
                <a:noFill/>
              </a:ln>
            </c:spPr>
            <c:txPr>
              <a:bodyPr/>
              <a:lstStyle/>
              <a:p>
                <a:pPr>
                  <a:defRPr lang="en-US" sz="846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Sheet1!$G$10:$J$10</c:f>
              <c:numCache>
                <c:formatCode>0.00</c:formatCode>
                <c:ptCount val="4"/>
                <c:pt idx="0">
                  <c:v>4.28</c:v>
                </c:pt>
                <c:pt idx="1">
                  <c:v>4.4000000000000004</c:v>
                </c:pt>
                <c:pt idx="2">
                  <c:v>4.58</c:v>
                </c:pt>
                <c:pt idx="3">
                  <c:v>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B2-4FE3-8CB1-9729B45A184A}"/>
            </c:ext>
          </c:extLst>
        </c:ser>
        <c:ser>
          <c:idx val="5"/>
          <c:order val="5"/>
          <c:tx>
            <c:strRef>
              <c:f>Sheet1!$D$11</c:f>
              <c:strCache>
                <c:ptCount val="1"/>
                <c:pt idx="0">
                  <c:v>Izdatci za kamate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Sheet1!$G$11:$J$11</c:f>
              <c:numCache>
                <c:formatCode>0.00</c:formatCode>
                <c:ptCount val="4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B2-4FE3-8CB1-9729B45A184A}"/>
            </c:ext>
          </c:extLst>
        </c:ser>
        <c:ser>
          <c:idx val="6"/>
          <c:order val="6"/>
          <c:tx>
            <c:strRef>
              <c:f>Sheet1!$D$12</c:f>
              <c:strCache>
                <c:ptCount val="1"/>
                <c:pt idx="0">
                  <c:v>Kapitalni izdatci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Sheet1!$G$12:$J$12</c:f>
              <c:numCache>
                <c:formatCode>0.00</c:formatCode>
                <c:ptCount val="4"/>
                <c:pt idx="0">
                  <c:v>12.67</c:v>
                </c:pt>
                <c:pt idx="1">
                  <c:v>12.88</c:v>
                </c:pt>
                <c:pt idx="2">
                  <c:v>14.3</c:v>
                </c:pt>
                <c:pt idx="3">
                  <c:v>15.7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B2-4FE3-8CB1-9729B45A184A}"/>
            </c:ext>
          </c:extLst>
        </c:ser>
        <c:ser>
          <c:idx val="7"/>
          <c:order val="7"/>
          <c:tx>
            <c:strRef>
              <c:f>Sheet1!$D$13</c:f>
              <c:strCache>
                <c:ptCount val="1"/>
                <c:pt idx="0">
                  <c:v>Otplata duga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Sheet1!$G$13:$J$13</c:f>
              <c:numCache>
                <c:formatCode>0.00</c:formatCode>
                <c:ptCount val="4"/>
                <c:pt idx="0">
                  <c:v>0.26</c:v>
                </c:pt>
                <c:pt idx="1">
                  <c:v>0.26</c:v>
                </c:pt>
                <c:pt idx="2">
                  <c:v>0.26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B2-4FE3-8CB1-9729B45A184A}"/>
            </c:ext>
          </c:extLst>
        </c:ser>
        <c:ser>
          <c:idx val="8"/>
          <c:order val="8"/>
          <c:tx>
            <c:strRef>
              <c:f>Sheet1!$D$14</c:f>
              <c:strCache>
                <c:ptCount val="1"/>
                <c:pt idx="0">
                  <c:v>Financiranje deficita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Sheet1!$G$5:$J$5</c:f>
              <c:numCache>
                <c:formatCode>General</c:formatCode>
                <c:ptCount val="4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</c:numCache>
            </c:numRef>
          </c:cat>
          <c:val>
            <c:numRef>
              <c:f>Sheet1!$G$14:$J$14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B2-4FE3-8CB1-9729B45A18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43793536"/>
        <c:axId val="144663680"/>
        <c:axId val="0"/>
      </c:bar3DChart>
      <c:catAx>
        <c:axId val="14379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lang="en-US" sz="84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  <c:crossAx val="144663680"/>
        <c:crosses val="autoZero"/>
        <c:auto val="1"/>
        <c:lblAlgn val="ctr"/>
        <c:lblOffset val="100"/>
        <c:noMultiLvlLbl val="0"/>
      </c:catAx>
      <c:valAx>
        <c:axId val="14466368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8060">
            <a:noFill/>
          </a:ln>
        </c:spPr>
        <c:txPr>
          <a:bodyPr rot="0" vert="horz"/>
          <a:lstStyle/>
          <a:p>
            <a:pPr>
              <a:defRPr lang="en-US" sz="846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CS"/>
          </a:p>
        </c:txPr>
        <c:crossAx val="143793536"/>
        <c:crosses val="autoZero"/>
        <c:crossBetween val="between"/>
      </c:valAx>
      <c:spPr>
        <a:noFill/>
        <a:ln w="21492">
          <a:noFill/>
        </a:ln>
      </c:spPr>
    </c:plotArea>
    <c:legend>
      <c:legendPos val="r"/>
      <c:layout>
        <c:manualLayout>
          <c:xMode val="edge"/>
          <c:yMode val="edge"/>
          <c:x val="0.66315783163512865"/>
          <c:y val="0.12986984796434947"/>
          <c:w val="0.32631593575514489"/>
          <c:h val="0.86645588345246582"/>
        </c:manualLayout>
      </c:layout>
      <c:overlay val="0"/>
      <c:txPr>
        <a:bodyPr/>
        <a:lstStyle/>
        <a:p>
          <a:pPr>
            <a:defRPr lang="en-US"/>
          </a:pPr>
          <a:endParaRPr lang="sr-Latn-CS"/>
        </a:p>
      </c:txPr>
    </c:legend>
    <c:plotVisOnly val="1"/>
    <c:dispBlanksAs val="gap"/>
    <c:showDLblsOverMax val="0"/>
  </c:chart>
  <c:txPr>
    <a:bodyPr/>
    <a:lstStyle/>
    <a:p>
      <a:pPr>
        <a:defRPr sz="846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C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21487603305923E-2"/>
          <c:y val="4.1825095057034224E-2"/>
          <c:w val="0.51074380165290001"/>
          <c:h val="0.8365019011406846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Sheet1!$A$5</c:f>
              <c:strCache>
                <c:ptCount val="1"/>
                <c:pt idx="0">
                  <c:v>Konsolidirana potrošnja na plaće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lang="en-US"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Sheet1!$B$4:$F$4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85.39</c:v>
                </c:pt>
                <c:pt idx="1">
                  <c:v>96.55</c:v>
                </c:pt>
                <c:pt idx="2">
                  <c:v>100.61</c:v>
                </c:pt>
                <c:pt idx="3">
                  <c:v>104.2</c:v>
                </c:pt>
                <c:pt idx="4">
                  <c:v>108.19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8-4B23-923A-D0F3C366B783}"/>
            </c:ext>
          </c:extLst>
        </c:ser>
        <c:ser>
          <c:idx val="0"/>
          <c:order val="1"/>
          <c:tx>
            <c:strRef>
              <c:f>Sheet1!$A$6</c:f>
              <c:strCache>
                <c:ptCount val="1"/>
                <c:pt idx="0">
                  <c:v>Konsolidirana potrošnja za materijalne troškove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lang="en-US"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Sheet1!$B$4:$F$4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Sheet1!$B$6:$F$6</c:f>
              <c:numCache>
                <c:formatCode>General</c:formatCode>
                <c:ptCount val="5"/>
                <c:pt idx="0">
                  <c:v>8.8000000000000007</c:v>
                </c:pt>
                <c:pt idx="1">
                  <c:v>12.15</c:v>
                </c:pt>
                <c:pt idx="2">
                  <c:v>12.5</c:v>
                </c:pt>
                <c:pt idx="3">
                  <c:v>13</c:v>
                </c:pt>
                <c:pt idx="4">
                  <c:v>13.52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18-4B23-923A-D0F3C366B7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945536"/>
        <c:axId val="144947072"/>
      </c:barChart>
      <c:lineChart>
        <c:grouping val="standard"/>
        <c:varyColors val="0"/>
        <c:ser>
          <c:idx val="2"/>
          <c:order val="2"/>
          <c:tx>
            <c:strRef>
              <c:f>Sheet1!$A$7</c:f>
              <c:strCache>
                <c:ptCount val="1"/>
                <c:pt idx="0">
                  <c:v>Udio materijalnih troškova u ukupnim plaćama %</c:v>
                </c:pt>
              </c:strCache>
            </c:strRef>
          </c:tx>
          <c:spPr>
            <a:ln w="12697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lang="en-US"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C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Sheet1!$B$4:$F$4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Sheet1!$B$7:$F$7</c:f>
              <c:numCache>
                <c:formatCode>0.00%</c:formatCode>
                <c:ptCount val="5"/>
                <c:pt idx="0">
                  <c:v>0.10305656400046845</c:v>
                </c:pt>
                <c:pt idx="1">
                  <c:v>0.1258415328845158</c:v>
                </c:pt>
                <c:pt idx="2">
                  <c:v>0.12424212304939868</c:v>
                </c:pt>
                <c:pt idx="3">
                  <c:v>0.12476007677543186</c:v>
                </c:pt>
                <c:pt idx="4">
                  <c:v>0.12496533875589241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18-4B23-923A-D0F3C366B7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957440"/>
        <c:axId val="144958976"/>
      </c:lineChart>
      <c:catAx>
        <c:axId val="144945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49470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49470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KM Mil</a:t>
                </a:r>
              </a:p>
            </c:rich>
          </c:tx>
          <c:layout>
            <c:manualLayout>
              <c:xMode val="edge"/>
              <c:yMode val="edge"/>
              <c:x val="0"/>
              <c:y val="0.37262357414452152"/>
            </c:manualLayout>
          </c:layout>
          <c:overlay val="0"/>
          <c:spPr>
            <a:noFill/>
            <a:ln w="25394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4945536"/>
        <c:crosses val="autoZero"/>
        <c:crossBetween val="between"/>
      </c:valAx>
      <c:catAx>
        <c:axId val="144957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4958976"/>
        <c:crosses val="autoZero"/>
        <c:auto val="0"/>
        <c:lblAlgn val="ctr"/>
        <c:lblOffset val="100"/>
        <c:noMultiLvlLbl val="0"/>
      </c:catAx>
      <c:valAx>
        <c:axId val="144958976"/>
        <c:scaling>
          <c:orientation val="minMax"/>
          <c:max val="0.2"/>
          <c:min val="9.5000000000000043E-2"/>
        </c:scaling>
        <c:delete val="0"/>
        <c:axPos val="r"/>
        <c:title>
          <c:tx>
            <c:rich>
              <a:bodyPr/>
              <a:lstStyle/>
              <a:p>
                <a:pPr>
                  <a:defRPr lang="en-US"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 </a:t>
                </a:r>
              </a:p>
            </c:rich>
          </c:tx>
          <c:layout>
            <c:manualLayout>
              <c:xMode val="edge"/>
              <c:yMode val="edge"/>
              <c:x val="0.63305788836620003"/>
              <c:y val="0.43346007604566905"/>
            </c:manualLayout>
          </c:layout>
          <c:overlay val="0"/>
          <c:spPr>
            <a:noFill/>
            <a:ln w="25394">
              <a:noFill/>
            </a:ln>
          </c:spPr>
        </c:title>
        <c:numFmt formatCode="0.00%" sourceLinked="1"/>
        <c:majorTickMark val="cross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4957440"/>
        <c:crosses val="max"/>
        <c:crossBetween val="between"/>
      </c:valAx>
      <c:spPr>
        <a:solidFill>
          <a:srgbClr val="C0C0C0"/>
        </a:solidFill>
        <a:ln w="1269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61157767323459"/>
          <c:y val="0.24714828897340113"/>
          <c:w val="0.32727271214713038"/>
          <c:h val="0.42585551330801924"/>
        </c:manualLayout>
      </c:layout>
      <c:overlay val="0"/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CS"/>
        </a:p>
      </c:txPr>
    </c:legend>
    <c:plotVisOnly val="1"/>
    <c:dispBlanksAs val="gap"/>
    <c:showDLblsOverMax val="0"/>
  </c:chart>
  <c:spPr>
    <a:solidFill>
      <a:srgbClr val="FFFFFF"/>
    </a:solidFill>
    <a:ln w="3174">
      <a:solidFill>
        <a:srgbClr val="000000"/>
      </a:solidFill>
      <a:prstDash val="solid"/>
    </a:ln>
  </c:spPr>
  <c:txPr>
    <a:bodyPr/>
    <a:lstStyle/>
    <a:p>
      <a:pPr algn="just"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C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086115992970163E-2"/>
          <c:y val="7.0063694267517934E-2"/>
          <c:w val="0.53427065026362064"/>
          <c:h val="0.6528662420382166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Tekuće potpore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25.46</c:v>
                </c:pt>
                <c:pt idx="1">
                  <c:v>29.09</c:v>
                </c:pt>
                <c:pt idx="2">
                  <c:v>29.47</c:v>
                </c:pt>
                <c:pt idx="3">
                  <c:v>31.09</c:v>
                </c:pt>
                <c:pt idx="4">
                  <c:v>33.229999999999997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A-4749-BF6D-37723D31115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Proračun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129.46</c:v>
                </c:pt>
                <c:pt idx="1">
                  <c:v>155.36000000000001</c:v>
                </c:pt>
                <c:pt idx="2">
                  <c:v>160.74</c:v>
                </c:pt>
                <c:pt idx="3">
                  <c:v>167.79</c:v>
                </c:pt>
                <c:pt idx="4">
                  <c:v>176.39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1A-4749-BF6D-37723D311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63008"/>
        <c:axId val="145569280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Tekuće potpore kao % proračuna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Sheet1!$B$1:$F$1</c:f>
              <c:numCache>
                <c:formatCode>General</c:formatCode>
                <c:ptCount val="5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</c:numCache>
            </c:numRef>
          </c:cat>
          <c:val>
            <c:numRef>
              <c:f>Sheet1!$B$3:$F$3</c:f>
              <c:numCache>
                <c:formatCode>0.00</c:formatCode>
                <c:ptCount val="5"/>
                <c:pt idx="0">
                  <c:v>19.666306194963695</c:v>
                </c:pt>
                <c:pt idx="1">
                  <c:v>18.724253347064877</c:v>
                </c:pt>
                <c:pt idx="2">
                  <c:v>18.333955456015925</c:v>
                </c:pt>
                <c:pt idx="3">
                  <c:v>18.529113773168842</c:v>
                </c:pt>
                <c:pt idx="4">
                  <c:v>18.838936447644425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1A-4749-BF6D-37723D311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570816"/>
        <c:axId val="145572608"/>
      </c:lineChart>
      <c:catAx>
        <c:axId val="1455630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55692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55692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5563008"/>
        <c:crosses val="autoZero"/>
        <c:crossBetween val="between"/>
      </c:valAx>
      <c:catAx>
        <c:axId val="14557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5572608"/>
        <c:crosses val="autoZero"/>
        <c:auto val="0"/>
        <c:lblAlgn val="ctr"/>
        <c:lblOffset val="100"/>
        <c:noMultiLvlLbl val="0"/>
      </c:catAx>
      <c:valAx>
        <c:axId val="145572608"/>
        <c:scaling>
          <c:orientation val="minMax"/>
          <c:max val="20"/>
          <c:min val="15"/>
        </c:scaling>
        <c:delete val="0"/>
        <c:axPos val="r"/>
        <c:numFmt formatCode="0.0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CS"/>
          </a:p>
        </c:txPr>
        <c:crossAx val="145570816"/>
        <c:crosses val="max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595782073813761"/>
          <c:y val="0.21656050955414041"/>
          <c:w val="0.29701230228474396"/>
          <c:h val="0.3566878980891848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CS"/>
        </a:p>
      </c:txPr>
    </c:legend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C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</cdr:x>
      <cdr:y>0.495</cdr:y>
    </cdr:from>
    <cdr:to>
      <cdr:x>0.45525</cdr:x>
      <cdr:y>0.56325</cdr:y>
    </cdr:to>
    <cdr:sp macro="" textlink="">
      <cdr:nvSpPr>
        <cdr:cNvPr id="1638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35301" y="1096287"/>
          <a:ext cx="126683" cy="1496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AEBA-14D4-404C-A4E5-CD006217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41</Pages>
  <Words>12948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Petar</dc:creator>
  <cp:lastModifiedBy>Ana Jurčević</cp:lastModifiedBy>
  <cp:revision>39</cp:revision>
  <cp:lastPrinted>2026-06-05T11:09:00Z</cp:lastPrinted>
  <dcterms:created xsi:type="dcterms:W3CDTF">2026-06-01T10:45:00Z</dcterms:created>
  <dcterms:modified xsi:type="dcterms:W3CDTF">2026-06-15T07:25:00Z</dcterms:modified>
</cp:coreProperties>
</file>